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2A" w:rsidRDefault="0091702A" w:rsidP="0091702A">
      <w:pPr>
        <w:pStyle w:val="Default"/>
      </w:pPr>
      <w:bookmarkStart w:id="0" w:name="_GoBack"/>
      <w:bookmarkEnd w:id="0"/>
    </w:p>
    <w:p w:rsidR="0091702A" w:rsidRDefault="0091702A" w:rsidP="0091702A">
      <w:pPr>
        <w:pStyle w:val="Default"/>
      </w:pPr>
      <w:r>
        <w:t xml:space="preserve"> </w:t>
      </w:r>
    </w:p>
    <w:p w:rsidR="0091702A" w:rsidRPr="0091702A" w:rsidRDefault="006102DD" w:rsidP="0091702A">
      <w:pPr>
        <w:pStyle w:val="msotitle3"/>
        <w:widowControl w:val="0"/>
        <w:jc w:val="left"/>
        <w:rPr>
          <w:sz w:val="44"/>
          <w:szCs w:val="44"/>
          <w:lang w:val="en-US"/>
        </w:rPr>
      </w:pPr>
      <w:r>
        <w:rPr>
          <w:noProof/>
        </w:rPr>
        <mc:AlternateContent>
          <mc:Choice Requires="wps">
            <w:drawing>
              <wp:anchor distT="0" distB="0" distL="114300" distR="114300" simplePos="0" relativeHeight="251659264" behindDoc="0" locked="0" layoutInCell="1" allowOverlap="1" wp14:anchorId="77046AC0" wp14:editId="7F80428E">
                <wp:simplePos x="0" y="0"/>
                <wp:positionH relativeFrom="margin">
                  <wp:align>left</wp:align>
                </wp:positionH>
                <wp:positionV relativeFrom="paragraph">
                  <wp:posOffset>241182</wp:posOffset>
                </wp:positionV>
                <wp:extent cx="5295014" cy="76802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295014" cy="768025"/>
                        </a:xfrm>
                        <a:prstGeom prst="rect">
                          <a:avLst/>
                        </a:prstGeom>
                        <a:noFill/>
                        <a:ln>
                          <a:noFill/>
                        </a:ln>
                      </wps:spPr>
                      <wps:txbx>
                        <w:txbxContent>
                          <w:p w:rsidR="006102DD" w:rsidRPr="006102DD" w:rsidRDefault="006102DD" w:rsidP="006102DD">
                            <w:pPr>
                              <w:widowControl w:val="0"/>
                              <w:spacing w:after="60"/>
                              <w:jc w:val="right"/>
                              <w:rPr>
                                <w:rFonts w:ascii="Franklin Gothic Book" w:eastAsia="Times New Roman" w:hAnsi="Franklin Gothic Book" w:cs="Times New Roman"/>
                                <w:b/>
                                <w:color w:val="70AD47"/>
                                <w:spacing w:val="10"/>
                                <w:kern w:val="28"/>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cntxtAlts/>
                              </w:rPr>
                            </w:pPr>
                            <w:r>
                              <w:rPr>
                                <w:rFonts w:ascii="Franklin Gothic Book" w:eastAsia="Times New Roman" w:hAnsi="Franklin Gothic Book" w:cs="Times New Roman"/>
                                <w:b/>
                                <w:color w:val="70AD47"/>
                                <w:spacing w:val="10"/>
                                <w:kern w:val="28"/>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cntxtAlt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046AC0" id="_x0000_t202" coordsize="21600,21600" o:spt="202" path="m,l,21600r21600,l21600,xe">
                <v:stroke joinstyle="miter"/>
                <v:path gradientshapeok="t" o:connecttype="rect"/>
              </v:shapetype>
              <v:shape id="Text Box 2" o:spid="_x0000_s1026" type="#_x0000_t202" style="position:absolute;margin-left:0;margin-top:19pt;width:416.95pt;height:60.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" filled="f" stroked="f">
                <v:fill o:detectmouseclick="t"/>
                <v:textbox>
                  <w:txbxContent>
                    <w:p w:rsidR="006102DD" w:rsidRPr="006102DD" w:rsidRDefault="006102DD" w:rsidP="006102DD">
                      <w:pPr>
                        <w:widowControl w:val="0"/>
                        <w:spacing w:after="60"/>
                        <w:jc w:val="right"/>
                        <w:rPr>
                          <w:rFonts w:ascii="Franklin Gothic Book" w:eastAsia="Times New Roman" w:hAnsi="Franklin Gothic Book" w:cs="Times New Roman"/>
                          <w:b/>
                          <w:color w:val="70AD47"/>
                          <w:spacing w:val="10"/>
                          <w:kern w:val="28"/>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cntxtAlts/>
                        </w:rPr>
                      </w:pPr>
                      <w:r>
                        <w:rPr>
                          <w:rFonts w:ascii="Franklin Gothic Book" w:eastAsia="Times New Roman" w:hAnsi="Franklin Gothic Book" w:cs="Times New Roman"/>
                          <w:b/>
                          <w:color w:val="70AD47"/>
                          <w:spacing w:val="10"/>
                          <w:kern w:val="28"/>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cntxtAlts/>
                        </w:rPr>
                        <w:t xml:space="preserve">               </w:t>
                      </w:r>
                    </w:p>
                  </w:txbxContent>
                </v:textbox>
                <w10:wrap anchorx="margin"/>
              </v:shape>
            </w:pict>
          </mc:Fallback>
        </mc:AlternateContent>
      </w:r>
    </w:p>
    <w:p w:rsidR="0091702A" w:rsidRPr="0091702A" w:rsidRDefault="0091702A" w:rsidP="0091702A">
      <w:pPr>
        <w:widowControl w:val="0"/>
        <w:spacing w:after="60"/>
        <w:rPr>
          <w:rFonts w:ascii="Franklin Gothic Book" w:eastAsia="Times New Roman" w:hAnsi="Franklin Gothic Book" w:cs="Times New Roman"/>
          <w:color w:val="000000"/>
          <w:kern w:val="28"/>
          <w:sz w:val="17"/>
          <w:szCs w:val="17"/>
          <w:lang w:eastAsia="en-GB"/>
          <w14:cntxtAlts/>
        </w:rPr>
      </w:pPr>
      <w:r w:rsidRPr="0091702A">
        <w:rPr>
          <w:rFonts w:ascii="Franklin Gothic Book" w:eastAsia="Times New Roman" w:hAnsi="Franklin Gothic Book" w:cs="Times New Roman"/>
          <w:color w:val="000000"/>
          <w:kern w:val="28"/>
          <w:sz w:val="17"/>
          <w:szCs w:val="17"/>
          <w:lang w:eastAsia="en-GB"/>
          <w14:cntxtAlts/>
        </w:rPr>
        <w:t> </w:t>
      </w:r>
    </w:p>
    <w:p w:rsidR="006828E1" w:rsidRPr="006102DD" w:rsidRDefault="006828E1" w:rsidP="006102DD"/>
    <w:p w:rsidR="0091702A" w:rsidRDefault="0091702A" w:rsidP="0091702A">
      <w:pPr>
        <w:spacing w:after="160" w:line="480" w:lineRule="auto"/>
        <w:rPr>
          <w:rFonts w:eastAsiaTheme="majorEastAsia"/>
          <w:b/>
          <w:bCs/>
          <w:sz w:val="32"/>
          <w:szCs w:val="32"/>
        </w:rPr>
      </w:pPr>
    </w:p>
    <w:p w:rsidR="0091702A" w:rsidRDefault="0091702A" w:rsidP="0091702A">
      <w:pPr>
        <w:spacing w:after="160" w:line="480" w:lineRule="auto"/>
        <w:rPr>
          <w:rFonts w:eastAsiaTheme="majorEastAsia"/>
          <w:b/>
          <w:bCs/>
          <w:sz w:val="32"/>
          <w:szCs w:val="32"/>
        </w:rPr>
      </w:pPr>
    </w:p>
    <w:p w:rsidR="00586B68" w:rsidRDefault="00586B68" w:rsidP="00586B68">
      <w:pPr>
        <w:spacing w:after="160" w:line="480" w:lineRule="auto"/>
        <w:jc w:val="center"/>
        <w:rPr>
          <w:rFonts w:ascii="MS UI Gothic" w:eastAsia="MS UI Gothic" w:hAnsi="MS UI Gothic"/>
          <w:b/>
          <w:bCs/>
          <w:color w:val="1F4E79" w:themeColor="accent1" w:themeShade="80"/>
          <w:sz w:val="72"/>
          <w:szCs w:val="72"/>
        </w:rPr>
      </w:pPr>
    </w:p>
    <w:p w:rsidR="0091702A" w:rsidRPr="00586B68" w:rsidRDefault="00586B68" w:rsidP="00586B68">
      <w:pPr>
        <w:spacing w:after="160" w:line="480" w:lineRule="auto"/>
        <w:jc w:val="center"/>
        <w:rPr>
          <w:rFonts w:ascii="MS UI Gothic" w:eastAsia="MS UI Gothic" w:hAnsi="MS UI Gothic"/>
          <w:b/>
          <w:bCs/>
          <w:color w:val="1F4E79" w:themeColor="accent1" w:themeShade="80"/>
          <w:sz w:val="72"/>
          <w:szCs w:val="72"/>
        </w:rPr>
      </w:pPr>
      <w:r w:rsidRPr="00586B68">
        <w:rPr>
          <w:rFonts w:ascii="MS UI Gothic" w:eastAsia="MS UI Gothic" w:hAnsi="MS UI Gothic"/>
          <w:b/>
          <w:bCs/>
          <w:color w:val="1F4E79" w:themeColor="accent1" w:themeShade="80"/>
          <w:sz w:val="72"/>
          <w:szCs w:val="72"/>
        </w:rPr>
        <w:t xml:space="preserve">National Data </w:t>
      </w:r>
      <w:r w:rsidR="006102DD" w:rsidRPr="00586B68">
        <w:rPr>
          <w:rFonts w:ascii="MS UI Gothic" w:eastAsia="MS UI Gothic" w:hAnsi="MS UI Gothic"/>
          <w:b/>
          <w:bCs/>
          <w:color w:val="1F4E79" w:themeColor="accent1" w:themeShade="80"/>
          <w:sz w:val="72"/>
          <w:szCs w:val="72"/>
        </w:rPr>
        <w:t>Opt-Out</w:t>
      </w:r>
    </w:p>
    <w:p w:rsidR="0091702A" w:rsidRDefault="00AA2C18" w:rsidP="0091702A">
      <w:pPr>
        <w:spacing w:after="160" w:line="480" w:lineRule="auto"/>
        <w:rPr>
          <w:rFonts w:eastAsiaTheme="majorEastAsia"/>
          <w:b/>
          <w:bCs/>
          <w:sz w:val="32"/>
          <w:szCs w:val="32"/>
        </w:rPr>
      </w:pPr>
      <w:r>
        <w:rPr>
          <w:rFonts w:eastAsiaTheme="majorEastAsia"/>
          <w:b/>
          <w:bCs/>
          <w:sz w:val="32"/>
          <w:szCs w:val="32"/>
        </w:rPr>
        <w:t xml:space="preserve">  </w:t>
      </w:r>
    </w:p>
    <w:p w:rsidR="00586B68" w:rsidRDefault="00586B68" w:rsidP="0091702A">
      <w:pPr>
        <w:spacing w:after="160" w:line="480" w:lineRule="auto"/>
        <w:rPr>
          <w:rFonts w:eastAsiaTheme="majorEastAsia"/>
          <w:b/>
          <w:bCs/>
          <w:sz w:val="32"/>
          <w:szCs w:val="32"/>
        </w:rPr>
      </w:pPr>
    </w:p>
    <w:p w:rsidR="00586B68" w:rsidRDefault="00586B68" w:rsidP="0091702A">
      <w:pPr>
        <w:spacing w:after="160" w:line="480" w:lineRule="auto"/>
        <w:rPr>
          <w:rFonts w:eastAsiaTheme="majorEastAsia"/>
          <w:b/>
          <w:bCs/>
          <w:sz w:val="32"/>
          <w:szCs w:val="32"/>
        </w:rPr>
      </w:pPr>
    </w:p>
    <w:p w:rsidR="00586B68" w:rsidRDefault="00586B68" w:rsidP="0091702A">
      <w:pPr>
        <w:spacing w:after="160" w:line="480" w:lineRule="auto"/>
        <w:rPr>
          <w:rFonts w:eastAsiaTheme="majorEastAsia"/>
          <w:b/>
          <w:bCs/>
          <w:sz w:val="32"/>
          <w:szCs w:val="32"/>
        </w:rPr>
      </w:pPr>
    </w:p>
    <w:p w:rsidR="00586B68" w:rsidRDefault="00586B68" w:rsidP="0091702A">
      <w:pPr>
        <w:spacing w:after="160" w:line="480" w:lineRule="auto"/>
        <w:rPr>
          <w:rFonts w:eastAsiaTheme="majorEastAsia"/>
          <w:b/>
          <w:bCs/>
          <w:sz w:val="32"/>
          <w:szCs w:val="32"/>
        </w:rPr>
      </w:pPr>
    </w:p>
    <w:p w:rsidR="00586B68" w:rsidRDefault="00586B68" w:rsidP="0091702A">
      <w:pPr>
        <w:spacing w:after="160" w:line="480" w:lineRule="auto"/>
        <w:rPr>
          <w:rFonts w:eastAsiaTheme="majorEastAsia"/>
          <w:b/>
          <w:bCs/>
          <w:sz w:val="32"/>
          <w:szCs w:val="32"/>
        </w:rPr>
      </w:pPr>
    </w:p>
    <w:p w:rsidR="00586B68" w:rsidRDefault="00586B68" w:rsidP="0091702A">
      <w:pPr>
        <w:spacing w:after="160" w:line="480" w:lineRule="auto"/>
        <w:rPr>
          <w:rFonts w:eastAsiaTheme="majorEastAsia"/>
          <w:b/>
          <w:bCs/>
          <w:sz w:val="32"/>
          <w:szCs w:val="32"/>
        </w:rPr>
      </w:pPr>
    </w:p>
    <w:p w:rsidR="00586B68" w:rsidRDefault="00586B68" w:rsidP="0091702A">
      <w:pPr>
        <w:spacing w:after="160" w:line="480" w:lineRule="auto"/>
        <w:rPr>
          <w:rFonts w:eastAsiaTheme="majorEastAsia"/>
          <w:b/>
          <w:bCs/>
          <w:sz w:val="32"/>
          <w:szCs w:val="32"/>
        </w:rPr>
      </w:pPr>
    </w:p>
    <w:sdt>
      <w:sdtPr>
        <w:rPr>
          <w:rFonts w:ascii="Arial" w:eastAsiaTheme="minorHAnsi" w:hAnsi="Arial" w:cs="Arial"/>
          <w:color w:val="auto"/>
          <w:sz w:val="24"/>
          <w:szCs w:val="24"/>
          <w:lang w:val="en-GB"/>
        </w:rPr>
        <w:id w:val="1471246460"/>
        <w:docPartObj>
          <w:docPartGallery w:val="Table of Contents"/>
          <w:docPartUnique/>
        </w:docPartObj>
      </w:sdtPr>
      <w:sdtEndPr>
        <w:rPr>
          <w:b/>
          <w:bCs/>
          <w:noProof/>
        </w:rPr>
      </w:sdtEndPr>
      <w:sdtContent>
        <w:p w:rsidR="006828E1" w:rsidRPr="006828E1" w:rsidRDefault="006828E1" w:rsidP="006828E1">
          <w:pPr>
            <w:pStyle w:val="TOCHeading"/>
            <w:jc w:val="center"/>
            <w:rPr>
              <w:rFonts w:ascii="Arial" w:hAnsi="Arial" w:cs="Arial"/>
              <w:b/>
              <w:color w:val="auto"/>
            </w:rPr>
          </w:pPr>
          <w:r w:rsidRPr="006828E1">
            <w:rPr>
              <w:rFonts w:ascii="Arial" w:hAnsi="Arial" w:cs="Arial"/>
              <w:b/>
              <w:color w:val="auto"/>
            </w:rPr>
            <w:t>Contents</w:t>
          </w:r>
        </w:p>
        <w:p w:rsidR="006828E1" w:rsidRDefault="006828E1">
          <w:pPr>
            <w:pStyle w:val="TOC2"/>
            <w:tabs>
              <w:tab w:val="right" w:leader="dot" w:pos="9016"/>
            </w:tabs>
          </w:pPr>
        </w:p>
        <w:p w:rsidR="006828E1" w:rsidRDefault="006828E1">
          <w:pPr>
            <w:pStyle w:val="TOC2"/>
            <w:tabs>
              <w:tab w:val="right" w:leader="dot" w:pos="9016"/>
            </w:tabs>
          </w:pPr>
        </w:p>
        <w:p w:rsidR="006828E1" w:rsidRDefault="006828E1">
          <w:pPr>
            <w:pStyle w:val="TOC2"/>
            <w:tabs>
              <w:tab w:val="right" w:leader="dot" w:pos="9016"/>
            </w:tabs>
            <w:rPr>
              <w:rStyle w:val="Hyperlink"/>
              <w:noProof/>
            </w:rPr>
          </w:pPr>
          <w:r>
            <w:fldChar w:fldCharType="begin"/>
          </w:r>
          <w:r>
            <w:instrText xml:space="preserve"> TOC \o "1-3" \h \z \u </w:instrText>
          </w:r>
          <w:r>
            <w:fldChar w:fldCharType="separate"/>
          </w:r>
          <w:hyperlink w:anchor="_Toc31186742" w:history="1">
            <w:r w:rsidRPr="002F1A8D">
              <w:rPr>
                <w:rStyle w:val="Hyperlink"/>
                <w:rFonts w:eastAsiaTheme="majorEastAsia"/>
                <w:b/>
                <w:bCs/>
                <w:noProof/>
              </w:rPr>
              <w:t>National Data Opt-Out &amp; Practices</w:t>
            </w:r>
            <w:r>
              <w:rPr>
                <w:noProof/>
                <w:webHidden/>
              </w:rPr>
              <w:tab/>
            </w:r>
            <w:r>
              <w:rPr>
                <w:noProof/>
                <w:webHidden/>
              </w:rPr>
              <w:fldChar w:fldCharType="begin"/>
            </w:r>
            <w:r>
              <w:rPr>
                <w:noProof/>
                <w:webHidden/>
              </w:rPr>
              <w:instrText xml:space="preserve"> PAGEREF _Toc31186742 \h </w:instrText>
            </w:r>
            <w:r>
              <w:rPr>
                <w:noProof/>
                <w:webHidden/>
              </w:rPr>
            </w:r>
            <w:r>
              <w:rPr>
                <w:noProof/>
                <w:webHidden/>
              </w:rPr>
              <w:fldChar w:fldCharType="separate"/>
            </w:r>
            <w:r w:rsidR="00586B68">
              <w:rPr>
                <w:noProof/>
                <w:webHidden/>
              </w:rPr>
              <w:t>2</w:t>
            </w:r>
            <w:r>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3" w:history="1">
            <w:r w:rsidR="006828E1" w:rsidRPr="002F1A8D">
              <w:rPr>
                <w:rStyle w:val="Hyperlink"/>
                <w:rFonts w:eastAsiaTheme="majorEastAsia"/>
                <w:b/>
                <w:bCs/>
                <w:noProof/>
              </w:rPr>
              <w:t>National Data Opt-Out &amp; Patients</w:t>
            </w:r>
            <w:r w:rsidR="006828E1">
              <w:rPr>
                <w:noProof/>
                <w:webHidden/>
              </w:rPr>
              <w:tab/>
            </w:r>
            <w:r w:rsidR="006828E1">
              <w:rPr>
                <w:noProof/>
                <w:webHidden/>
              </w:rPr>
              <w:fldChar w:fldCharType="begin"/>
            </w:r>
            <w:r w:rsidR="006828E1">
              <w:rPr>
                <w:noProof/>
                <w:webHidden/>
              </w:rPr>
              <w:instrText xml:space="preserve"> PAGEREF _Toc31186743 \h </w:instrText>
            </w:r>
            <w:r w:rsidR="006828E1">
              <w:rPr>
                <w:noProof/>
                <w:webHidden/>
              </w:rPr>
            </w:r>
            <w:r w:rsidR="006828E1">
              <w:rPr>
                <w:noProof/>
                <w:webHidden/>
              </w:rPr>
              <w:fldChar w:fldCharType="separate"/>
            </w:r>
            <w:r w:rsidR="00586B68">
              <w:rPr>
                <w:noProof/>
                <w:webHidden/>
              </w:rPr>
              <w:t>3</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4" w:history="1">
            <w:r w:rsidR="006828E1" w:rsidRPr="002F1A8D">
              <w:rPr>
                <w:rStyle w:val="Hyperlink"/>
                <w:rFonts w:eastAsiaTheme="majorEastAsia"/>
                <w:b/>
                <w:bCs/>
                <w:noProof/>
              </w:rPr>
              <w:t>Before you start</w:t>
            </w:r>
            <w:r w:rsidR="006828E1">
              <w:rPr>
                <w:noProof/>
                <w:webHidden/>
              </w:rPr>
              <w:tab/>
            </w:r>
            <w:r w:rsidR="006828E1">
              <w:rPr>
                <w:noProof/>
                <w:webHidden/>
              </w:rPr>
              <w:fldChar w:fldCharType="begin"/>
            </w:r>
            <w:r w:rsidR="006828E1">
              <w:rPr>
                <w:noProof/>
                <w:webHidden/>
              </w:rPr>
              <w:instrText xml:space="preserve"> PAGEREF _Toc31186744 \h </w:instrText>
            </w:r>
            <w:r w:rsidR="006828E1">
              <w:rPr>
                <w:noProof/>
                <w:webHidden/>
              </w:rPr>
            </w:r>
            <w:r w:rsidR="006828E1">
              <w:rPr>
                <w:noProof/>
                <w:webHidden/>
              </w:rPr>
              <w:fldChar w:fldCharType="separate"/>
            </w:r>
            <w:r w:rsidR="00586B68">
              <w:rPr>
                <w:noProof/>
                <w:webHidden/>
              </w:rPr>
              <w:t>5</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5" w:history="1">
            <w:r w:rsidR="006828E1" w:rsidRPr="002F1A8D">
              <w:rPr>
                <w:rStyle w:val="Hyperlink"/>
                <w:rFonts w:eastAsiaTheme="majorEastAsia"/>
                <w:b/>
                <w:bCs/>
                <w:noProof/>
              </w:rPr>
              <w:t>Compliance with national data opt-out policy</w:t>
            </w:r>
            <w:r w:rsidR="006828E1">
              <w:rPr>
                <w:noProof/>
                <w:webHidden/>
              </w:rPr>
              <w:tab/>
            </w:r>
            <w:r w:rsidR="006828E1">
              <w:rPr>
                <w:noProof/>
                <w:webHidden/>
              </w:rPr>
              <w:fldChar w:fldCharType="begin"/>
            </w:r>
            <w:r w:rsidR="006828E1">
              <w:rPr>
                <w:noProof/>
                <w:webHidden/>
              </w:rPr>
              <w:instrText xml:space="preserve"> PAGEREF _Toc31186745 \h </w:instrText>
            </w:r>
            <w:r w:rsidR="006828E1">
              <w:rPr>
                <w:noProof/>
                <w:webHidden/>
              </w:rPr>
            </w:r>
            <w:r w:rsidR="006828E1">
              <w:rPr>
                <w:noProof/>
                <w:webHidden/>
              </w:rPr>
              <w:fldChar w:fldCharType="separate"/>
            </w:r>
            <w:r w:rsidR="00586B68">
              <w:rPr>
                <w:noProof/>
                <w:webHidden/>
              </w:rPr>
              <w:t>6</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6" w:history="1">
            <w:r w:rsidR="006828E1" w:rsidRPr="002F1A8D">
              <w:rPr>
                <w:rStyle w:val="Hyperlink"/>
                <w:rFonts w:eastAsiaTheme="majorEastAsia"/>
                <w:b/>
                <w:bCs/>
                <w:noProof/>
              </w:rPr>
              <w:t>Preparing practices for the national data opt-out</w:t>
            </w:r>
            <w:r w:rsidR="006828E1">
              <w:rPr>
                <w:noProof/>
                <w:webHidden/>
              </w:rPr>
              <w:tab/>
            </w:r>
            <w:r w:rsidR="006828E1">
              <w:rPr>
                <w:noProof/>
                <w:webHidden/>
              </w:rPr>
              <w:fldChar w:fldCharType="begin"/>
            </w:r>
            <w:r w:rsidR="006828E1">
              <w:rPr>
                <w:noProof/>
                <w:webHidden/>
              </w:rPr>
              <w:instrText xml:space="preserve"> PAGEREF _Toc31186746 \h </w:instrText>
            </w:r>
            <w:r w:rsidR="006828E1">
              <w:rPr>
                <w:noProof/>
                <w:webHidden/>
              </w:rPr>
            </w:r>
            <w:r w:rsidR="006828E1">
              <w:rPr>
                <w:noProof/>
                <w:webHidden/>
              </w:rPr>
              <w:fldChar w:fldCharType="separate"/>
            </w:r>
            <w:r w:rsidR="00586B68">
              <w:rPr>
                <w:noProof/>
                <w:webHidden/>
              </w:rPr>
              <w:t>7</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7" w:history="1">
            <w:r w:rsidR="006828E1" w:rsidRPr="002F1A8D">
              <w:rPr>
                <w:rStyle w:val="Hyperlink"/>
                <w:rFonts w:eastAsiaTheme="majorEastAsia"/>
                <w:b/>
                <w:bCs/>
                <w:noProof/>
              </w:rPr>
              <w:t>Compliance Implementation Guide - Checklist</w:t>
            </w:r>
            <w:r w:rsidR="006828E1">
              <w:rPr>
                <w:noProof/>
                <w:webHidden/>
              </w:rPr>
              <w:tab/>
            </w:r>
            <w:r w:rsidR="006828E1">
              <w:rPr>
                <w:noProof/>
                <w:webHidden/>
              </w:rPr>
              <w:fldChar w:fldCharType="begin"/>
            </w:r>
            <w:r w:rsidR="006828E1">
              <w:rPr>
                <w:noProof/>
                <w:webHidden/>
              </w:rPr>
              <w:instrText xml:space="preserve"> PAGEREF _Toc31186747 \h </w:instrText>
            </w:r>
            <w:r w:rsidR="006828E1">
              <w:rPr>
                <w:noProof/>
                <w:webHidden/>
              </w:rPr>
            </w:r>
            <w:r w:rsidR="006828E1">
              <w:rPr>
                <w:noProof/>
                <w:webHidden/>
              </w:rPr>
              <w:fldChar w:fldCharType="separate"/>
            </w:r>
            <w:r w:rsidR="00586B68">
              <w:rPr>
                <w:noProof/>
                <w:webHidden/>
              </w:rPr>
              <w:t>8</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8" w:history="1">
            <w:r w:rsidR="006828E1" w:rsidRPr="002F1A8D">
              <w:rPr>
                <w:rStyle w:val="Hyperlink"/>
                <w:rFonts w:eastAsiaTheme="majorEastAsia"/>
                <w:b/>
                <w:bCs/>
                <w:noProof/>
              </w:rPr>
              <w:t>Recommended text for privacy notices</w:t>
            </w:r>
            <w:r w:rsidR="006828E1">
              <w:rPr>
                <w:noProof/>
                <w:webHidden/>
              </w:rPr>
              <w:tab/>
            </w:r>
            <w:r w:rsidR="006828E1">
              <w:rPr>
                <w:noProof/>
                <w:webHidden/>
              </w:rPr>
              <w:fldChar w:fldCharType="begin"/>
            </w:r>
            <w:r w:rsidR="006828E1">
              <w:rPr>
                <w:noProof/>
                <w:webHidden/>
              </w:rPr>
              <w:instrText xml:space="preserve"> PAGEREF _Toc31186748 \h </w:instrText>
            </w:r>
            <w:r w:rsidR="006828E1">
              <w:rPr>
                <w:noProof/>
                <w:webHidden/>
              </w:rPr>
            </w:r>
            <w:r w:rsidR="006828E1">
              <w:rPr>
                <w:noProof/>
                <w:webHidden/>
              </w:rPr>
              <w:fldChar w:fldCharType="separate"/>
            </w:r>
            <w:r w:rsidR="00586B68">
              <w:rPr>
                <w:noProof/>
                <w:webHidden/>
              </w:rPr>
              <w:t>10</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Style w:val="Hyperlink"/>
              <w:noProof/>
            </w:rPr>
          </w:pPr>
          <w:hyperlink w:anchor="_Toc31186749" w:history="1">
            <w:r w:rsidR="006828E1" w:rsidRPr="002F1A8D">
              <w:rPr>
                <w:rStyle w:val="Hyperlink"/>
                <w:rFonts w:eastAsiaTheme="majorEastAsia"/>
                <w:b/>
                <w:bCs/>
                <w:noProof/>
              </w:rPr>
              <w:t>Recommended text for transparency statement to be added alongside the organisation’s Privacy Notice.</w:t>
            </w:r>
            <w:r w:rsidR="006828E1">
              <w:rPr>
                <w:noProof/>
                <w:webHidden/>
              </w:rPr>
              <w:tab/>
            </w:r>
            <w:r w:rsidR="006828E1">
              <w:rPr>
                <w:noProof/>
                <w:webHidden/>
              </w:rPr>
              <w:fldChar w:fldCharType="begin"/>
            </w:r>
            <w:r w:rsidR="006828E1">
              <w:rPr>
                <w:noProof/>
                <w:webHidden/>
              </w:rPr>
              <w:instrText xml:space="preserve"> PAGEREF _Toc31186749 \h </w:instrText>
            </w:r>
            <w:r w:rsidR="006828E1">
              <w:rPr>
                <w:noProof/>
                <w:webHidden/>
              </w:rPr>
            </w:r>
            <w:r w:rsidR="006828E1">
              <w:rPr>
                <w:noProof/>
                <w:webHidden/>
              </w:rPr>
              <w:fldChar w:fldCharType="separate"/>
            </w:r>
            <w:r w:rsidR="00586B68">
              <w:rPr>
                <w:noProof/>
                <w:webHidden/>
              </w:rPr>
              <w:t>11</w:t>
            </w:r>
            <w:r w:rsidR="006828E1">
              <w:rPr>
                <w:noProof/>
                <w:webHidden/>
              </w:rPr>
              <w:fldChar w:fldCharType="end"/>
            </w:r>
          </w:hyperlink>
        </w:p>
        <w:p w:rsidR="006828E1" w:rsidRDefault="006828E1" w:rsidP="006828E1"/>
        <w:p w:rsidR="006828E1" w:rsidRPr="006828E1" w:rsidRDefault="006828E1" w:rsidP="006828E1"/>
        <w:p w:rsidR="006828E1" w:rsidRDefault="00D00C2D">
          <w:pPr>
            <w:pStyle w:val="TOC2"/>
            <w:tabs>
              <w:tab w:val="right" w:leader="dot" w:pos="9016"/>
            </w:tabs>
            <w:rPr>
              <w:rFonts w:asciiTheme="minorHAnsi" w:eastAsiaTheme="minorEastAsia" w:hAnsiTheme="minorHAnsi" w:cstheme="minorBidi"/>
              <w:noProof/>
              <w:sz w:val="22"/>
              <w:szCs w:val="22"/>
              <w:lang w:eastAsia="en-GB"/>
            </w:rPr>
          </w:pPr>
          <w:hyperlink w:anchor="_Toc31186750" w:history="1">
            <w:r w:rsidR="006828E1" w:rsidRPr="002F1A8D">
              <w:rPr>
                <w:rStyle w:val="Hyperlink"/>
                <w:rFonts w:eastAsiaTheme="majorEastAsia"/>
                <w:b/>
                <w:bCs/>
                <w:noProof/>
              </w:rPr>
              <w:t>National Data Opt-Out Guidance</w:t>
            </w:r>
            <w:r w:rsidR="006828E1">
              <w:rPr>
                <w:noProof/>
                <w:webHidden/>
              </w:rPr>
              <w:tab/>
            </w:r>
            <w:r w:rsidR="006828E1">
              <w:rPr>
                <w:noProof/>
                <w:webHidden/>
              </w:rPr>
              <w:fldChar w:fldCharType="begin"/>
            </w:r>
            <w:r w:rsidR="006828E1">
              <w:rPr>
                <w:noProof/>
                <w:webHidden/>
              </w:rPr>
              <w:instrText xml:space="preserve"> PAGEREF _Toc31186750 \h </w:instrText>
            </w:r>
            <w:r w:rsidR="006828E1">
              <w:rPr>
                <w:noProof/>
                <w:webHidden/>
              </w:rPr>
            </w:r>
            <w:r w:rsidR="006828E1">
              <w:rPr>
                <w:noProof/>
                <w:webHidden/>
              </w:rPr>
              <w:fldChar w:fldCharType="separate"/>
            </w:r>
            <w:r w:rsidR="00586B68">
              <w:rPr>
                <w:noProof/>
                <w:webHidden/>
              </w:rPr>
              <w:t>13</w:t>
            </w:r>
            <w:r w:rsidR="006828E1">
              <w:rPr>
                <w:noProof/>
                <w:webHidden/>
              </w:rPr>
              <w:fldChar w:fldCharType="end"/>
            </w:r>
          </w:hyperlink>
        </w:p>
        <w:p w:rsidR="006828E1" w:rsidRDefault="006828E1">
          <w:r>
            <w:rPr>
              <w:b/>
              <w:bCs/>
              <w:noProof/>
            </w:rPr>
            <w:fldChar w:fldCharType="end"/>
          </w:r>
        </w:p>
      </w:sdtContent>
    </w:sdt>
    <w:p w:rsidR="006828E1" w:rsidRDefault="006828E1">
      <w:pPr>
        <w:spacing w:after="160" w:line="259" w:lineRule="auto"/>
        <w:rPr>
          <w:rFonts w:eastAsiaTheme="majorEastAsia"/>
          <w:b/>
          <w:bCs/>
          <w:sz w:val="32"/>
          <w:szCs w:val="32"/>
        </w:rPr>
      </w:pPr>
    </w:p>
    <w:p w:rsidR="006828E1" w:rsidRDefault="006828E1">
      <w:pPr>
        <w:spacing w:after="160" w:line="259" w:lineRule="auto"/>
        <w:rPr>
          <w:rFonts w:eastAsiaTheme="majorEastAsia"/>
          <w:b/>
          <w:bCs/>
          <w:sz w:val="32"/>
          <w:szCs w:val="32"/>
        </w:rPr>
      </w:pPr>
      <w:bookmarkStart w:id="1" w:name="_Toc31186742"/>
      <w:r>
        <w:rPr>
          <w:rFonts w:eastAsiaTheme="majorEastAsia"/>
          <w:b/>
          <w:bCs/>
          <w:sz w:val="32"/>
          <w:szCs w:val="32"/>
        </w:rPr>
        <w:br w:type="page"/>
      </w:r>
    </w:p>
    <w:p w:rsidR="00D72960" w:rsidRPr="006828E1" w:rsidRDefault="00D72960" w:rsidP="006828E1">
      <w:pPr>
        <w:keepNext/>
        <w:keepLines/>
        <w:jc w:val="center"/>
        <w:outlineLvl w:val="1"/>
        <w:rPr>
          <w:rFonts w:eastAsiaTheme="majorEastAsia"/>
          <w:b/>
          <w:bCs/>
          <w:sz w:val="32"/>
          <w:szCs w:val="32"/>
        </w:rPr>
      </w:pPr>
      <w:r w:rsidRPr="00D72960">
        <w:rPr>
          <w:rFonts w:eastAsiaTheme="majorEastAsia"/>
          <w:b/>
          <w:bCs/>
          <w:sz w:val="32"/>
          <w:szCs w:val="32"/>
        </w:rPr>
        <w:lastRenderedPageBreak/>
        <w:t xml:space="preserve">National </w:t>
      </w:r>
      <w:r w:rsidR="006828E1">
        <w:rPr>
          <w:rFonts w:eastAsiaTheme="majorEastAsia"/>
          <w:b/>
          <w:bCs/>
          <w:sz w:val="32"/>
          <w:szCs w:val="32"/>
        </w:rPr>
        <w:t>Data O</w:t>
      </w:r>
      <w:r w:rsidRPr="00D72960">
        <w:rPr>
          <w:rFonts w:eastAsiaTheme="majorEastAsia"/>
          <w:b/>
          <w:bCs/>
          <w:sz w:val="32"/>
          <w:szCs w:val="32"/>
        </w:rPr>
        <w:t>pt-</w:t>
      </w:r>
      <w:r w:rsidR="006828E1">
        <w:rPr>
          <w:rFonts w:eastAsiaTheme="majorEastAsia"/>
          <w:b/>
          <w:bCs/>
          <w:sz w:val="32"/>
          <w:szCs w:val="32"/>
        </w:rPr>
        <w:t>O</w:t>
      </w:r>
      <w:r w:rsidRPr="00D72960">
        <w:rPr>
          <w:rFonts w:eastAsiaTheme="majorEastAsia"/>
          <w:b/>
          <w:bCs/>
          <w:sz w:val="32"/>
          <w:szCs w:val="32"/>
        </w:rPr>
        <w:t>ut</w:t>
      </w:r>
      <w:r w:rsidR="006828E1">
        <w:rPr>
          <w:rFonts w:eastAsiaTheme="majorEastAsia"/>
          <w:b/>
          <w:bCs/>
          <w:sz w:val="32"/>
          <w:szCs w:val="32"/>
        </w:rPr>
        <w:t xml:space="preserve"> &amp; Practices</w:t>
      </w:r>
      <w:bookmarkEnd w:id="1"/>
    </w:p>
    <w:p w:rsidR="006828E1" w:rsidRDefault="006828E1" w:rsidP="006828E1">
      <w:pPr>
        <w:rPr>
          <w:b/>
        </w:rPr>
      </w:pPr>
    </w:p>
    <w:p w:rsidR="00214BEA" w:rsidRPr="006828E1" w:rsidRDefault="00214BEA" w:rsidP="006828E1">
      <w:pPr>
        <w:rPr>
          <w:b/>
        </w:rPr>
      </w:pPr>
      <w:r w:rsidRPr="006828E1">
        <w:rPr>
          <w:b/>
        </w:rPr>
        <w:t>What is the national data opt-out?</w:t>
      </w:r>
    </w:p>
    <w:p w:rsidR="00D47DA9" w:rsidRDefault="00214BEA" w:rsidP="00214BEA">
      <w:r w:rsidRPr="002A04EE">
        <w:t xml:space="preserve">It is a </w:t>
      </w:r>
      <w:r>
        <w:t>service</w:t>
      </w:r>
      <w:r w:rsidRPr="002A04EE">
        <w:t xml:space="preserve"> that enables the public to opt out of their confidential patient information being used for purposes beyond their individual care and treatment. </w:t>
      </w:r>
    </w:p>
    <w:p w:rsidR="00D47DA9" w:rsidRDefault="00D47DA9" w:rsidP="00214BEA"/>
    <w:p w:rsidR="00D47DA9" w:rsidRDefault="00214BEA" w:rsidP="00214BEA">
      <w:r w:rsidRPr="002A04EE">
        <w:t xml:space="preserve">It was introduced for the health and social care system in England on 25 May 2018. </w:t>
      </w:r>
    </w:p>
    <w:p w:rsidR="00D47DA9" w:rsidRDefault="00D47DA9" w:rsidP="00214BEA"/>
    <w:p w:rsidR="00214BEA" w:rsidRPr="002A04EE" w:rsidRDefault="00214BEA" w:rsidP="00214BEA">
      <w:r w:rsidRPr="002A04EE">
        <w:t>The public can change their national data opt-out choice at any time</w:t>
      </w:r>
      <w:r>
        <w:t xml:space="preserve"> via </w:t>
      </w:r>
      <w:hyperlink r:id="rId9" w:history="1">
        <w:r w:rsidRPr="00A150E7">
          <w:rPr>
            <w:rStyle w:val="Hyperlink"/>
          </w:rPr>
          <w:t>www.nhs.uk/your-nhs-data-matters</w:t>
        </w:r>
      </w:hyperlink>
      <w:r>
        <w:t xml:space="preserve">, or by calling the NHS Digital </w:t>
      </w:r>
      <w:r w:rsidRPr="005875E0">
        <w:t>contact centre on 0300 3035678</w:t>
      </w:r>
      <w:r>
        <w:t>.</w:t>
      </w:r>
    </w:p>
    <w:p w:rsidR="00626A41" w:rsidRDefault="00626A41"/>
    <w:p w:rsidR="00214BEA" w:rsidRPr="006828E1" w:rsidRDefault="00214BEA" w:rsidP="006828E1">
      <w:pPr>
        <w:rPr>
          <w:b/>
        </w:rPr>
      </w:pPr>
      <w:r w:rsidRPr="006828E1">
        <w:rPr>
          <w:b/>
        </w:rPr>
        <w:t xml:space="preserve">Which </w:t>
      </w:r>
      <w:r w:rsidR="00DE6C72" w:rsidRPr="006828E1">
        <w:rPr>
          <w:b/>
        </w:rPr>
        <w:t>practices</w:t>
      </w:r>
      <w:r w:rsidRPr="006828E1">
        <w:rPr>
          <w:b/>
        </w:rPr>
        <w:t xml:space="preserve"> need to comply with national data opt-out policy?  </w:t>
      </w:r>
    </w:p>
    <w:p w:rsidR="00214BEA" w:rsidRDefault="00214BEA" w:rsidP="00214BEA">
      <w:r w:rsidRPr="002A04EE">
        <w:t xml:space="preserve">The national data opt-out applies to data for patients where their care is provided in England by a publicly funded organisation or </w:t>
      </w:r>
      <w:r>
        <w:t xml:space="preserve">the care </w:t>
      </w:r>
      <w:r w:rsidRPr="002A04EE">
        <w:t>has been arranged by a public body such as the NHS or a Local Authority,</w:t>
      </w:r>
      <w:r w:rsidRPr="006B7D65">
        <w:t xml:space="preserve"> </w:t>
      </w:r>
      <w:r w:rsidRPr="002A04EE">
        <w:t>it does not apply to</w:t>
      </w:r>
      <w:r>
        <w:t xml:space="preserve"> </w:t>
      </w:r>
      <w:r w:rsidRPr="002A04EE">
        <w:t>data related to private patients/clients at private providers</w:t>
      </w:r>
      <w:r>
        <w:t>.</w:t>
      </w:r>
    </w:p>
    <w:p w:rsidR="00214BEA" w:rsidRDefault="00214BEA"/>
    <w:p w:rsidR="00214BEA" w:rsidRPr="002A04EE" w:rsidRDefault="00214BEA" w:rsidP="00214BEA">
      <w:r w:rsidRPr="002A04EE">
        <w:t>In summary the national data opt-out applies to:</w:t>
      </w:r>
    </w:p>
    <w:p w:rsidR="00214BEA" w:rsidRPr="002A04EE" w:rsidRDefault="00214BEA" w:rsidP="00214BEA">
      <w:pPr>
        <w:pStyle w:val="ListParagraph"/>
        <w:numPr>
          <w:ilvl w:val="0"/>
          <w:numId w:val="2"/>
        </w:numPr>
        <w:ind w:left="284" w:hanging="284"/>
      </w:pPr>
      <w:r w:rsidRPr="002A04EE">
        <w:t>all NHS organisations (including private patients treated within such organisations)</w:t>
      </w:r>
    </w:p>
    <w:p w:rsidR="00214BEA" w:rsidRPr="002A04EE" w:rsidRDefault="00214BEA" w:rsidP="00214BEA">
      <w:pPr>
        <w:pStyle w:val="ListParagraph"/>
        <w:numPr>
          <w:ilvl w:val="0"/>
          <w:numId w:val="1"/>
        </w:numPr>
        <w:ind w:left="284" w:hanging="284"/>
      </w:pPr>
      <w:r w:rsidRPr="002A04EE">
        <w:t>all Local Authorities providing publicly funded care</w:t>
      </w:r>
    </w:p>
    <w:p w:rsidR="00214BEA" w:rsidRPr="002A04EE" w:rsidRDefault="00214BEA" w:rsidP="00214BEA">
      <w:pPr>
        <w:pStyle w:val="ListParagraph"/>
        <w:numPr>
          <w:ilvl w:val="0"/>
          <w:numId w:val="1"/>
        </w:numPr>
        <w:ind w:left="284" w:hanging="284"/>
      </w:pPr>
      <w:r w:rsidRPr="002A04EE">
        <w:t xml:space="preserve">adult social care providers where the care provided is funded or arranged by a public body </w:t>
      </w:r>
    </w:p>
    <w:p w:rsidR="00214BEA" w:rsidRPr="002A04EE" w:rsidRDefault="00214BEA" w:rsidP="00214BEA">
      <w:pPr>
        <w:pStyle w:val="ListParagraph"/>
        <w:numPr>
          <w:ilvl w:val="0"/>
          <w:numId w:val="1"/>
        </w:numPr>
        <w:ind w:left="284" w:hanging="284"/>
      </w:pPr>
      <w:r w:rsidRPr="002A04EE">
        <w:t xml:space="preserve">private </w:t>
      </w:r>
      <w:r>
        <w:t xml:space="preserve">or charitable healthcare </w:t>
      </w:r>
      <w:r w:rsidRPr="002A04EE">
        <w:t xml:space="preserve">providers providing NHS funded treatment or arranged care </w:t>
      </w:r>
    </w:p>
    <w:p w:rsidR="00214BEA" w:rsidRDefault="00214BEA"/>
    <w:p w:rsidR="00214BEA" w:rsidRPr="006828E1" w:rsidRDefault="00214BEA" w:rsidP="006828E1">
      <w:pPr>
        <w:rPr>
          <w:b/>
        </w:rPr>
      </w:pPr>
      <w:r w:rsidRPr="006828E1">
        <w:rPr>
          <w:b/>
        </w:rPr>
        <w:t xml:space="preserve">When do </w:t>
      </w:r>
      <w:r w:rsidR="00DE6C72" w:rsidRPr="006828E1">
        <w:rPr>
          <w:b/>
        </w:rPr>
        <w:t>practices</w:t>
      </w:r>
      <w:r w:rsidRPr="006828E1">
        <w:rPr>
          <w:b/>
        </w:rPr>
        <w:t xml:space="preserve"> need to comply?</w:t>
      </w:r>
    </w:p>
    <w:p w:rsidR="00DE6C72" w:rsidRDefault="00214BEA" w:rsidP="006828E1">
      <w:r w:rsidRPr="002A04EE">
        <w:t xml:space="preserve">The Department of Health and Social care require all health and adult social care organisations to comply with the policy by March 2020 as set out in the information standard: </w:t>
      </w:r>
      <w:hyperlink r:id="rId10" w:history="1">
        <w:r w:rsidRPr="002A04EE">
          <w:rPr>
            <w:rStyle w:val="Hyperlink"/>
          </w:rPr>
          <w:t>DCB3058 Compliance with National Data Opt-outs.</w:t>
        </w:r>
      </w:hyperlink>
      <w:r w:rsidRPr="002A04EE">
        <w:t xml:space="preserve"> Compliance by this date also ensures organisations can </w:t>
      </w:r>
      <w:r w:rsidRPr="0004393B">
        <w:rPr>
          <w:rFonts w:eastAsia="Times New Roman"/>
          <w:lang w:eastAsia="en-GB"/>
        </w:rPr>
        <w:t xml:space="preserve">complete the evidence item ‘compliance with national data opt-out policy’ in the </w:t>
      </w:r>
      <w:hyperlink r:id="rId11" w:history="1">
        <w:r w:rsidRPr="0004393B">
          <w:rPr>
            <w:rFonts w:eastAsia="Times New Roman"/>
            <w:color w:val="44546A" w:themeColor="text2"/>
            <w:u w:val="single"/>
            <w:lang w:eastAsia="en-GB"/>
          </w:rPr>
          <w:t>Data Security and Protection toolkit</w:t>
        </w:r>
      </w:hyperlink>
      <w:r w:rsidRPr="0004393B">
        <w:rPr>
          <w:rFonts w:eastAsia="Times New Roman"/>
          <w:color w:val="44546A" w:themeColor="text2"/>
          <w:lang w:eastAsia="en-GB"/>
        </w:rPr>
        <w:t> </w:t>
      </w:r>
      <w:r w:rsidRPr="0004393B">
        <w:rPr>
          <w:rFonts w:eastAsia="Times New Roman"/>
          <w:lang w:eastAsia="en-GB"/>
        </w:rPr>
        <w:t>for 2019/20.</w:t>
      </w:r>
    </w:p>
    <w:p w:rsidR="006828E1" w:rsidRDefault="006828E1" w:rsidP="006828E1"/>
    <w:p w:rsidR="00F25E29" w:rsidRPr="006828E1" w:rsidRDefault="00F25E29" w:rsidP="006828E1">
      <w:pPr>
        <w:rPr>
          <w:b/>
        </w:rPr>
      </w:pPr>
      <w:r w:rsidRPr="006828E1">
        <w:rPr>
          <w:b/>
        </w:rPr>
        <w:t xml:space="preserve">What do </w:t>
      </w:r>
      <w:r w:rsidR="00DE6C72" w:rsidRPr="006828E1">
        <w:rPr>
          <w:b/>
        </w:rPr>
        <w:t>practices</w:t>
      </w:r>
      <w:r w:rsidRPr="006828E1">
        <w:rPr>
          <w:b/>
        </w:rPr>
        <w:t xml:space="preserve"> need to do?</w:t>
      </w:r>
    </w:p>
    <w:p w:rsidR="00F25E29" w:rsidRDefault="00F25E29" w:rsidP="00F25E29">
      <w:pPr>
        <w:rPr>
          <w:rStyle w:val="Hyperlink"/>
        </w:rPr>
      </w:pPr>
      <w:r w:rsidRPr="002A04EE">
        <w:t>Put processes and procedures in place, by March 2020, to be able to assess any current or future uses of confidential patient information prior to disclosure to consider and apply national data opt-outs where necessary</w:t>
      </w:r>
      <w:r>
        <w:t>,</w:t>
      </w:r>
      <w:r w:rsidRPr="002A04EE">
        <w:t xml:space="preserve"> in accordance with </w:t>
      </w:r>
      <w:hyperlink r:id="rId12" w:history="1">
        <w:r w:rsidRPr="002A04EE">
          <w:rPr>
            <w:rStyle w:val="Hyperlink"/>
          </w:rPr>
          <w:t>national data opt-out operational policy.</w:t>
        </w:r>
      </w:hyperlink>
    </w:p>
    <w:p w:rsidR="002D23F5" w:rsidRDefault="002D23F5" w:rsidP="00F25E29">
      <w:pPr>
        <w:rPr>
          <w:rStyle w:val="Hyperlink"/>
        </w:rPr>
      </w:pPr>
    </w:p>
    <w:p w:rsidR="002D23F5" w:rsidRDefault="002D23F5" w:rsidP="00F25E29">
      <w:pPr>
        <w:rPr>
          <w:rStyle w:val="Hyperlink"/>
          <w:color w:val="auto"/>
          <w:u w:val="none"/>
        </w:rPr>
      </w:pPr>
      <w:r>
        <w:rPr>
          <w:rStyle w:val="Hyperlink"/>
          <w:color w:val="auto"/>
          <w:u w:val="none"/>
        </w:rPr>
        <w:t xml:space="preserve">A member of the public is able to set an opt-out via a number of channels that include online, digitally assisted and non-digital channels.  Any person registered on the Personal Demographic Services (PDS) and who consequently has an NHS number allocated to them is able to set a national data opt-out.  The opt-out is stored in a central repository against their NHS number on the Spine. </w:t>
      </w:r>
    </w:p>
    <w:p w:rsidR="0091702A" w:rsidRDefault="0091702A">
      <w:pPr>
        <w:rPr>
          <w:rStyle w:val="Hyperlink"/>
          <w:color w:val="auto"/>
          <w:u w:val="none"/>
        </w:rPr>
      </w:pPr>
    </w:p>
    <w:p w:rsidR="00DE6C72" w:rsidRDefault="002D23F5">
      <w:r>
        <w:rPr>
          <w:rStyle w:val="Hyperlink"/>
          <w:color w:val="auto"/>
          <w:u w:val="none"/>
        </w:rPr>
        <w:lastRenderedPageBreak/>
        <w:t xml:space="preserve">The opt-out applies regardless of the format of the data and this includes structured and unstructured electronic data and paper records.  When the opt-out is applied, the entire record (or records) associated with </w:t>
      </w:r>
      <w:r w:rsidR="00995D14">
        <w:rPr>
          <w:rStyle w:val="Hyperlink"/>
          <w:color w:val="auto"/>
          <w:u w:val="none"/>
        </w:rPr>
        <w:t>that individual must be fully removed from the data being disclosed.  The NHS number is used as the identifier for the removal of the records.</w:t>
      </w:r>
    </w:p>
    <w:p w:rsidR="00DE6C72" w:rsidRDefault="00DE6C72"/>
    <w:p w:rsidR="00995D14" w:rsidRDefault="00995D14">
      <w:r>
        <w:t>A national data opt-out publication provides statistics on the national data opt-out against various dimensions, including age and geography to help organisations to understand the impact of the opt-out on their data.  Related documents that set out requirements and guidance on the application of the national data opt-out include the Data Security and Protection Toolkit (DSPT), the forthcoming Information Standard on Compliance with the National Data Opt-out and the NHS Digital Code of Practice on Confidential Information.  Further information and guidance on the opt-out is available from the national data opt-out programme webpages.</w:t>
      </w:r>
    </w:p>
    <w:p w:rsidR="00DE6C72" w:rsidRDefault="00DE6C72"/>
    <w:p w:rsidR="006828E1" w:rsidRDefault="006828E1" w:rsidP="006828E1">
      <w:pPr>
        <w:keepNext/>
        <w:keepLines/>
        <w:jc w:val="center"/>
        <w:outlineLvl w:val="1"/>
      </w:pPr>
      <w:bookmarkStart w:id="2" w:name="_Toc31186743"/>
      <w:r w:rsidRPr="00D72960">
        <w:rPr>
          <w:rFonts w:eastAsiaTheme="majorEastAsia"/>
          <w:b/>
          <w:bCs/>
          <w:sz w:val="32"/>
          <w:szCs w:val="32"/>
        </w:rPr>
        <w:t xml:space="preserve">National </w:t>
      </w:r>
      <w:r>
        <w:rPr>
          <w:rFonts w:eastAsiaTheme="majorEastAsia"/>
          <w:b/>
          <w:bCs/>
          <w:sz w:val="32"/>
          <w:szCs w:val="32"/>
        </w:rPr>
        <w:t>Data O</w:t>
      </w:r>
      <w:r w:rsidRPr="00D72960">
        <w:rPr>
          <w:rFonts w:eastAsiaTheme="majorEastAsia"/>
          <w:b/>
          <w:bCs/>
          <w:sz w:val="32"/>
          <w:szCs w:val="32"/>
        </w:rPr>
        <w:t>pt-</w:t>
      </w:r>
      <w:r>
        <w:rPr>
          <w:rFonts w:eastAsiaTheme="majorEastAsia"/>
          <w:b/>
          <w:bCs/>
          <w:sz w:val="32"/>
          <w:szCs w:val="32"/>
        </w:rPr>
        <w:t>O</w:t>
      </w:r>
      <w:r w:rsidRPr="00D72960">
        <w:rPr>
          <w:rFonts w:eastAsiaTheme="majorEastAsia"/>
          <w:b/>
          <w:bCs/>
          <w:sz w:val="32"/>
          <w:szCs w:val="32"/>
        </w:rPr>
        <w:t>ut</w:t>
      </w:r>
      <w:r>
        <w:rPr>
          <w:rFonts w:eastAsiaTheme="majorEastAsia"/>
          <w:b/>
          <w:bCs/>
          <w:sz w:val="32"/>
          <w:szCs w:val="32"/>
        </w:rPr>
        <w:t xml:space="preserve"> &amp; Patients</w:t>
      </w:r>
      <w:bookmarkEnd w:id="2"/>
    </w:p>
    <w:p w:rsidR="006828E1" w:rsidRDefault="006828E1"/>
    <w:p w:rsidR="00DE6C72" w:rsidRPr="00DE6C72" w:rsidRDefault="00DE6C72">
      <w:pPr>
        <w:rPr>
          <w:b/>
        </w:rPr>
      </w:pPr>
      <w:r w:rsidRPr="00DE6C72">
        <w:rPr>
          <w:b/>
        </w:rPr>
        <w:t>Patients who can choose to set a national data opt-out</w:t>
      </w:r>
    </w:p>
    <w:p w:rsidR="00995D14" w:rsidRDefault="00DE6C72">
      <w:r>
        <w:t>Anyone who has an NHS number and has registered for care or treatment wit</w:t>
      </w:r>
      <w:r w:rsidR="004945D1">
        <w:t xml:space="preserve">h the NHS in England can set an </w:t>
      </w:r>
      <w:r>
        <w:t>opt out if they wish to, even if they don’t currently live in England.</w:t>
      </w:r>
    </w:p>
    <w:p w:rsidR="00995D14" w:rsidRDefault="00995D14"/>
    <w:p w:rsidR="00DE6C72" w:rsidRPr="00DE6C72" w:rsidRDefault="00DE6C72">
      <w:pPr>
        <w:rPr>
          <w:b/>
        </w:rPr>
      </w:pPr>
      <w:r w:rsidRPr="00DE6C72">
        <w:rPr>
          <w:b/>
        </w:rPr>
        <w:t>Patient who can set an opt out choice for themselves</w:t>
      </w:r>
    </w:p>
    <w:p w:rsidR="00DE6C72" w:rsidRDefault="00DE6C72">
      <w:r>
        <w:t xml:space="preserve">If the patient is aged 13 or over, they can set </w:t>
      </w:r>
      <w:r w:rsidR="002C2065">
        <w:t xml:space="preserve">their </w:t>
      </w:r>
      <w:r>
        <w:t>own opt-out choice using the online service, the telephone service, the NHS App, or ‘print and post’, completing a form by hand and sending it in.</w:t>
      </w:r>
    </w:p>
    <w:p w:rsidR="00A00D46" w:rsidRDefault="00A00D46"/>
    <w:p w:rsidR="00A00D46" w:rsidRDefault="00A00D46">
      <w:pPr>
        <w:rPr>
          <w:b/>
        </w:rPr>
      </w:pPr>
      <w:r w:rsidRPr="00A00D46">
        <w:rPr>
          <w:b/>
        </w:rPr>
        <w:t>Patients who can set an opt-out choice on behalf of someone else</w:t>
      </w:r>
    </w:p>
    <w:p w:rsidR="00A00D46" w:rsidRDefault="00A00D46">
      <w:r w:rsidRPr="005C3C76">
        <w:t>Someone can set an opt-out choice on behalf of a patient, by proxy, if:</w:t>
      </w:r>
    </w:p>
    <w:p w:rsidR="005C3C76" w:rsidRPr="005C3C76" w:rsidRDefault="005C3C76"/>
    <w:p w:rsidR="00A00D46" w:rsidRPr="005C3C76" w:rsidRDefault="00A00D46" w:rsidP="00A00D46">
      <w:pPr>
        <w:pStyle w:val="ListParagraph"/>
        <w:numPr>
          <w:ilvl w:val="0"/>
          <w:numId w:val="7"/>
        </w:numPr>
      </w:pPr>
      <w:r w:rsidRPr="005C3C76">
        <w:t>they are the parent or legal guardian of the patient, who is a child aged 12 or under</w:t>
      </w:r>
    </w:p>
    <w:p w:rsidR="00A00D46" w:rsidRPr="005C3C76" w:rsidRDefault="00A00D46" w:rsidP="00A00D46">
      <w:pPr>
        <w:pStyle w:val="ListParagraph"/>
        <w:numPr>
          <w:ilvl w:val="0"/>
          <w:numId w:val="7"/>
        </w:numPr>
      </w:pPr>
      <w:r w:rsidRPr="005C3C76">
        <w:t>they have a formal legal relationship with the patient, for example legal power of attorney or are a court-appointed deputy</w:t>
      </w:r>
      <w:r w:rsidR="005C3C76" w:rsidRPr="005C3C76">
        <w:t>.</w:t>
      </w:r>
    </w:p>
    <w:p w:rsidR="005C3C76" w:rsidRPr="005C3C76" w:rsidRDefault="005C3C76" w:rsidP="005C3C76"/>
    <w:p w:rsidR="005C3C76" w:rsidRDefault="005C3C76" w:rsidP="005C3C76">
      <w:r w:rsidRPr="005C3C76">
        <w:t>The</w:t>
      </w:r>
      <w:r w:rsidR="002C3A69">
        <w:t>y</w:t>
      </w:r>
      <w:r w:rsidRPr="005C3C76">
        <w:t xml:space="preserve"> can only do this using the ‘print and post’ service.</w:t>
      </w:r>
    </w:p>
    <w:p w:rsidR="00CC5FED" w:rsidRDefault="00CC5FED" w:rsidP="005C3C76"/>
    <w:p w:rsidR="00CC5FED" w:rsidRPr="00423B4E" w:rsidRDefault="00CC5FED" w:rsidP="005C3C76">
      <w:pPr>
        <w:rPr>
          <w:b/>
        </w:rPr>
      </w:pPr>
      <w:r w:rsidRPr="00423B4E">
        <w:rPr>
          <w:b/>
        </w:rPr>
        <w:t>Changing an opt-out</w:t>
      </w:r>
    </w:p>
    <w:p w:rsidR="00CC5FED" w:rsidRDefault="00CC5FED" w:rsidP="005C3C76">
      <w:r>
        <w:t>An opt-out choice can be changed at any time by the patient or their proxy</w:t>
      </w:r>
      <w:r w:rsidR="002C3A69">
        <w:t>.</w:t>
      </w:r>
    </w:p>
    <w:p w:rsidR="005C3C76" w:rsidRDefault="005C3C76" w:rsidP="005C3C76"/>
    <w:p w:rsidR="000814E8" w:rsidRPr="00060353" w:rsidRDefault="000814E8" w:rsidP="005C3C76">
      <w:pPr>
        <w:rPr>
          <w:b/>
        </w:rPr>
      </w:pPr>
      <w:r w:rsidRPr="00060353">
        <w:rPr>
          <w:b/>
        </w:rPr>
        <w:t>Using the online service</w:t>
      </w:r>
    </w:p>
    <w:p w:rsidR="000814E8" w:rsidRDefault="000814E8" w:rsidP="005C3C76">
      <w:r>
        <w:t>Patient</w:t>
      </w:r>
      <w:r w:rsidR="00060353">
        <w:t>s can set their own opt-out choice by visiting</w:t>
      </w:r>
      <w:r w:rsidR="00E66ECF">
        <w:t xml:space="preserve"> </w:t>
      </w:r>
      <w:hyperlink r:id="rId13" w:history="1">
        <w:r w:rsidR="00E66ECF" w:rsidRPr="00BE2350">
          <w:rPr>
            <w:rFonts w:ascii="Times New Roman" w:eastAsia="Times New Roman" w:hAnsi="Times New Roman" w:cs="Times New Roman"/>
            <w:color w:val="0000FF"/>
            <w:u w:val="single"/>
            <w:lang w:val="en" w:eastAsia="en-GB"/>
          </w:rPr>
          <w:t>www.nhs.uk/your-nhs-data-matters</w:t>
        </w:r>
      </w:hyperlink>
      <w:r w:rsidR="00060353">
        <w:t xml:space="preserve"> using any internet </w:t>
      </w:r>
      <w:r w:rsidR="006C015B">
        <w:t>enabled</w:t>
      </w:r>
      <w:r w:rsidR="00060353">
        <w:t xml:space="preserve"> d</w:t>
      </w:r>
      <w:r w:rsidR="006C015B">
        <w:t>evice.  So that the service can co</w:t>
      </w:r>
      <w:r w:rsidR="00E66ECF">
        <w:t xml:space="preserve">nfirm their identify, </w:t>
      </w:r>
      <w:r w:rsidR="00D4319D">
        <w:t>they will need to provide:</w:t>
      </w:r>
    </w:p>
    <w:p w:rsidR="00D4319D" w:rsidRDefault="00D4319D" w:rsidP="005C3C76"/>
    <w:p w:rsidR="00D4319D" w:rsidRDefault="00D4319D" w:rsidP="00D4319D">
      <w:pPr>
        <w:pStyle w:val="ListParagraph"/>
        <w:numPr>
          <w:ilvl w:val="0"/>
          <w:numId w:val="7"/>
        </w:numPr>
      </w:pPr>
      <w:r>
        <w:t>their NHS number, or their postcode ( as registered with the GP practice)</w:t>
      </w:r>
    </w:p>
    <w:p w:rsidR="00D4319D" w:rsidRDefault="00D4319D" w:rsidP="00D4319D">
      <w:pPr>
        <w:pStyle w:val="ListParagraph"/>
        <w:numPr>
          <w:ilvl w:val="0"/>
          <w:numId w:val="7"/>
        </w:numPr>
      </w:pPr>
      <w:r>
        <w:lastRenderedPageBreak/>
        <w:t>their mobile phone number or email address provided previously at a GP practice or other NHS service</w:t>
      </w:r>
    </w:p>
    <w:p w:rsidR="00E66ECF" w:rsidRPr="005C3C76" w:rsidRDefault="00E66ECF" w:rsidP="00E66ECF">
      <w:pPr>
        <w:pStyle w:val="ListParagraph"/>
      </w:pPr>
    </w:p>
    <w:p w:rsidR="00E66ECF" w:rsidRDefault="00E66ECF">
      <w:r>
        <w:t>The online service is available 24 hours a day, 7 days a week.</w:t>
      </w:r>
    </w:p>
    <w:p w:rsidR="006A24C2" w:rsidRDefault="006A24C2">
      <w:pPr>
        <w:rPr>
          <w:b/>
        </w:rPr>
      </w:pPr>
    </w:p>
    <w:p w:rsidR="00E2262E" w:rsidRPr="00E2262E" w:rsidRDefault="00E2262E">
      <w:pPr>
        <w:rPr>
          <w:b/>
        </w:rPr>
      </w:pPr>
      <w:r w:rsidRPr="00E2262E">
        <w:rPr>
          <w:b/>
        </w:rPr>
        <w:t>Using the NHS App</w:t>
      </w:r>
    </w:p>
    <w:p w:rsidR="00E66ECF" w:rsidRDefault="00E2262E">
      <w:r>
        <w:t>Patient who have registered for the</w:t>
      </w:r>
      <w:r w:rsidRPr="00BE2350">
        <w:rPr>
          <w:rFonts w:ascii="Times New Roman" w:eastAsia="Times New Roman" w:hAnsi="Times New Roman" w:cs="Times New Roman"/>
          <w:lang w:val="en" w:eastAsia="en-GB"/>
        </w:rPr>
        <w:t xml:space="preserve"> </w:t>
      </w:r>
      <w:hyperlink r:id="rId14" w:history="1">
        <w:r w:rsidRPr="00BE2350">
          <w:rPr>
            <w:rFonts w:ascii="Times New Roman" w:eastAsia="Times New Roman" w:hAnsi="Times New Roman" w:cs="Times New Roman"/>
            <w:color w:val="0000FF"/>
            <w:u w:val="single"/>
            <w:lang w:val="en" w:eastAsia="en-GB"/>
          </w:rPr>
          <w:t>NHS App</w:t>
        </w:r>
      </w:hyperlink>
      <w:r>
        <w:rPr>
          <w:rFonts w:ascii="Times New Roman" w:eastAsia="Times New Roman" w:hAnsi="Times New Roman" w:cs="Times New Roman"/>
          <w:color w:val="0000FF"/>
          <w:u w:val="single"/>
          <w:lang w:val="en" w:eastAsia="en-GB"/>
        </w:rPr>
        <w:t xml:space="preserve"> </w:t>
      </w:r>
      <w:r>
        <w:t>using NHS login can set a national data opt-out using the app</w:t>
      </w:r>
      <w:r w:rsidR="002C3A69">
        <w:t>.</w:t>
      </w:r>
    </w:p>
    <w:p w:rsidR="00430968" w:rsidRDefault="00430968">
      <w:pPr>
        <w:rPr>
          <w:b/>
        </w:rPr>
      </w:pPr>
    </w:p>
    <w:p w:rsidR="00E66ECF" w:rsidRDefault="00E2262E">
      <w:pPr>
        <w:rPr>
          <w:b/>
        </w:rPr>
      </w:pPr>
      <w:r w:rsidRPr="00E2262E">
        <w:rPr>
          <w:b/>
        </w:rPr>
        <w:t>Using the telephone service</w:t>
      </w:r>
    </w:p>
    <w:p w:rsidR="00E2262E" w:rsidRPr="004862AA" w:rsidRDefault="00E2262E">
      <w:r w:rsidRPr="004862AA">
        <w:t>Patients can set their own opt-out choice by calling 0300 303 5678.</w:t>
      </w:r>
    </w:p>
    <w:p w:rsidR="00E2262E" w:rsidRPr="004862AA" w:rsidRDefault="00E2262E"/>
    <w:p w:rsidR="00E2262E" w:rsidRPr="004862AA" w:rsidRDefault="00E2262E">
      <w:r w:rsidRPr="004862AA">
        <w:t>Calling this number should cost no more than calls to a normal landline number.</w:t>
      </w:r>
    </w:p>
    <w:p w:rsidR="00E2262E" w:rsidRPr="004862AA" w:rsidRDefault="00E2262E"/>
    <w:p w:rsidR="00E2262E" w:rsidRDefault="00E2262E">
      <w:r w:rsidRPr="004862AA">
        <w:t xml:space="preserve">The telephone service is available </w:t>
      </w:r>
      <w:r w:rsidR="004862AA" w:rsidRPr="004862AA">
        <w:t>9am to 5pm, Monday to Friday, apart from on English bank or public holidays.</w:t>
      </w:r>
    </w:p>
    <w:p w:rsidR="004862AA" w:rsidRDefault="004862AA"/>
    <w:p w:rsidR="004862AA" w:rsidRDefault="004862AA">
      <w:pPr>
        <w:rPr>
          <w:b/>
        </w:rPr>
      </w:pPr>
      <w:r w:rsidRPr="004862AA">
        <w:rPr>
          <w:b/>
        </w:rPr>
        <w:t>Using ‘print-and-post’</w:t>
      </w:r>
    </w:p>
    <w:p w:rsidR="004862AA" w:rsidRDefault="004862AA">
      <w:r w:rsidRPr="004862AA">
        <w:t>If a patient is unable to use the online or telephone service, or would prefer not to, they can complete a paper form and post it.</w:t>
      </w:r>
    </w:p>
    <w:p w:rsidR="004862AA" w:rsidRDefault="004862AA"/>
    <w:p w:rsidR="004862AA" w:rsidRDefault="004862AA">
      <w:r>
        <w:t xml:space="preserve">The form can be downloaded from </w:t>
      </w:r>
      <w:hyperlink r:id="rId15" w:history="1">
        <w:r w:rsidRPr="00BE2350">
          <w:rPr>
            <w:rFonts w:ascii="Times New Roman" w:eastAsia="Times New Roman" w:hAnsi="Times New Roman" w:cs="Times New Roman"/>
            <w:color w:val="0000FF"/>
            <w:u w:val="single"/>
            <w:lang w:val="en" w:eastAsia="en-GB"/>
          </w:rPr>
          <w:t>www.nhs.uk/your-nhs-data-matters</w:t>
        </w:r>
      </w:hyperlink>
      <w:r w:rsidRPr="00BE2350">
        <w:rPr>
          <w:rFonts w:ascii="Times New Roman" w:eastAsia="Times New Roman" w:hAnsi="Times New Roman" w:cs="Times New Roman"/>
          <w:lang w:val="en" w:eastAsia="en-GB"/>
        </w:rPr>
        <w:t xml:space="preserve"> </w:t>
      </w:r>
      <w:r>
        <w:t>or requested by calling the telephone service on 0300 303 5678</w:t>
      </w:r>
    </w:p>
    <w:p w:rsidR="004862AA" w:rsidRDefault="004862AA"/>
    <w:p w:rsidR="004862AA" w:rsidRDefault="004862AA" w:rsidP="004862AA">
      <w:pPr>
        <w:rPr>
          <w:b/>
        </w:rPr>
      </w:pPr>
      <w:r w:rsidRPr="004862AA">
        <w:rPr>
          <w:b/>
        </w:rPr>
        <w:t>Patients in prison or secure settings</w:t>
      </w:r>
    </w:p>
    <w:p w:rsidR="004862AA" w:rsidRDefault="004862AA" w:rsidP="004862AA">
      <w:pPr>
        <w:rPr>
          <w:rFonts w:ascii="Times New Roman" w:eastAsia="Times New Roman" w:hAnsi="Times New Roman" w:cs="Times New Roman"/>
          <w:lang w:val="en" w:eastAsia="en-GB"/>
        </w:rPr>
      </w:pPr>
      <w:r w:rsidRPr="001C64AD">
        <w:t xml:space="preserve">There are special arrangements for patients in prison </w:t>
      </w:r>
      <w:r w:rsidR="001C64AD" w:rsidRPr="001C64AD">
        <w:t>or other similar secure settings, known as detained and secure estates.  A health and care professional can help register a patient’s opt-out choice. See</w:t>
      </w:r>
      <w:r w:rsidR="001C64AD">
        <w:rPr>
          <w:b/>
        </w:rPr>
        <w:t xml:space="preserve"> </w:t>
      </w:r>
      <w:hyperlink r:id="rId16" w:anchor="guidance-for-detained-and-secure-estates" w:history="1">
        <w:r w:rsidR="001C64AD" w:rsidRPr="00BE2350">
          <w:rPr>
            <w:rFonts w:ascii="Times New Roman" w:eastAsia="Times New Roman" w:hAnsi="Times New Roman" w:cs="Times New Roman"/>
            <w:color w:val="0000FF"/>
            <w:u w:val="single"/>
            <w:lang w:val="en" w:eastAsia="en-GB"/>
          </w:rPr>
          <w:t>Guidance for detained and secure estates</w:t>
        </w:r>
      </w:hyperlink>
      <w:r w:rsidR="001C64AD" w:rsidRPr="00BE2350">
        <w:rPr>
          <w:rFonts w:ascii="Times New Roman" w:eastAsia="Times New Roman" w:hAnsi="Times New Roman" w:cs="Times New Roman"/>
          <w:lang w:val="en" w:eastAsia="en-GB"/>
        </w:rPr>
        <w:t>.</w:t>
      </w:r>
    </w:p>
    <w:p w:rsidR="00F21CE5" w:rsidRPr="00F21CE5" w:rsidRDefault="00F21CE5" w:rsidP="004862AA">
      <w:pPr>
        <w:rPr>
          <w:rFonts w:eastAsia="Times New Roman"/>
          <w:b/>
          <w:lang w:val="en" w:eastAsia="en-GB"/>
        </w:rPr>
      </w:pPr>
    </w:p>
    <w:p w:rsidR="00F21CE5" w:rsidRPr="00F21CE5" w:rsidRDefault="00F21CE5" w:rsidP="004862AA">
      <w:pPr>
        <w:rPr>
          <w:rFonts w:eastAsia="Times New Roman"/>
          <w:b/>
          <w:lang w:val="en" w:eastAsia="en-GB"/>
        </w:rPr>
      </w:pPr>
      <w:r w:rsidRPr="00F21CE5">
        <w:rPr>
          <w:rFonts w:eastAsia="Times New Roman"/>
          <w:b/>
          <w:lang w:val="en" w:eastAsia="en-GB"/>
        </w:rPr>
        <w:t>Confirmation</w:t>
      </w:r>
    </w:p>
    <w:p w:rsidR="00F21CE5" w:rsidRPr="00F21CE5" w:rsidRDefault="00F21CE5" w:rsidP="00F21CE5">
      <w:pPr>
        <w:rPr>
          <w:rFonts w:eastAsia="Times New Roman"/>
          <w:lang w:val="en" w:eastAsia="en-GB"/>
        </w:rPr>
      </w:pPr>
      <w:r w:rsidRPr="00F21CE5">
        <w:rPr>
          <w:rFonts w:eastAsia="Times New Roman"/>
          <w:lang w:val="en" w:eastAsia="en-GB"/>
        </w:rPr>
        <w:t>During the process of setting their opt-out choice, the patient can choose their preferred communication method:</w:t>
      </w:r>
    </w:p>
    <w:p w:rsidR="00F21CE5" w:rsidRPr="00F21CE5" w:rsidRDefault="00F21CE5" w:rsidP="00F21CE5">
      <w:pPr>
        <w:rPr>
          <w:rFonts w:eastAsia="Times New Roman"/>
          <w:lang w:val="en" w:eastAsia="en-GB"/>
        </w:rPr>
      </w:pPr>
    </w:p>
    <w:p w:rsidR="00F21CE5" w:rsidRPr="00F21CE5" w:rsidRDefault="00F21CE5" w:rsidP="00F21CE5">
      <w:pPr>
        <w:pStyle w:val="ListParagraph"/>
        <w:numPr>
          <w:ilvl w:val="0"/>
          <w:numId w:val="7"/>
        </w:numPr>
        <w:rPr>
          <w:rFonts w:eastAsia="Times New Roman"/>
          <w:lang w:val="en" w:eastAsia="en-GB"/>
        </w:rPr>
      </w:pPr>
      <w:r w:rsidRPr="00F21CE5">
        <w:rPr>
          <w:rFonts w:eastAsia="Times New Roman"/>
          <w:lang w:val="en" w:eastAsia="en-GB"/>
        </w:rPr>
        <w:t>email</w:t>
      </w:r>
    </w:p>
    <w:p w:rsidR="00F21CE5" w:rsidRPr="00F21CE5" w:rsidRDefault="00F21CE5" w:rsidP="00F21CE5">
      <w:pPr>
        <w:pStyle w:val="ListParagraph"/>
        <w:numPr>
          <w:ilvl w:val="0"/>
          <w:numId w:val="7"/>
        </w:numPr>
        <w:rPr>
          <w:rFonts w:eastAsia="Times New Roman"/>
          <w:lang w:val="en" w:eastAsia="en-GB"/>
        </w:rPr>
      </w:pPr>
      <w:r w:rsidRPr="00F21CE5">
        <w:rPr>
          <w:rFonts w:eastAsia="Times New Roman"/>
          <w:lang w:val="en" w:eastAsia="en-GB"/>
        </w:rPr>
        <w:t>SMS text</w:t>
      </w:r>
    </w:p>
    <w:p w:rsidR="00F21CE5" w:rsidRDefault="00423D99" w:rsidP="00F21CE5">
      <w:pPr>
        <w:pStyle w:val="ListParagraph"/>
        <w:numPr>
          <w:ilvl w:val="0"/>
          <w:numId w:val="7"/>
        </w:numPr>
        <w:rPr>
          <w:rFonts w:eastAsia="Times New Roman"/>
          <w:lang w:val="en" w:eastAsia="en-GB"/>
        </w:rPr>
      </w:pPr>
      <w:r w:rsidRPr="00F21CE5">
        <w:rPr>
          <w:rFonts w:eastAsia="Times New Roman"/>
          <w:lang w:val="en" w:eastAsia="en-GB"/>
        </w:rPr>
        <w:t>L</w:t>
      </w:r>
      <w:r w:rsidR="00F21CE5" w:rsidRPr="00F21CE5">
        <w:rPr>
          <w:rFonts w:eastAsia="Times New Roman"/>
          <w:lang w:val="en" w:eastAsia="en-GB"/>
        </w:rPr>
        <w:t>etter</w:t>
      </w:r>
    </w:p>
    <w:p w:rsidR="00423D99" w:rsidRDefault="00423D99" w:rsidP="00423D99">
      <w:pPr>
        <w:rPr>
          <w:rFonts w:eastAsia="Times New Roman"/>
          <w:lang w:val="en" w:eastAsia="en-GB"/>
        </w:rPr>
      </w:pPr>
    </w:p>
    <w:p w:rsidR="00423D99" w:rsidRPr="00423D99" w:rsidRDefault="00423D99" w:rsidP="00423D99">
      <w:pPr>
        <w:rPr>
          <w:rFonts w:eastAsia="Times New Roman"/>
          <w:lang w:val="en" w:eastAsia="en-GB"/>
        </w:rPr>
      </w:pPr>
      <w:r>
        <w:rPr>
          <w:rFonts w:eastAsia="Times New Roman"/>
          <w:lang w:val="en" w:eastAsia="en-GB"/>
        </w:rPr>
        <w:t>Once the process has been completed, the patient will receive a confirmation that their national data opt-out choice has been set.</w:t>
      </w:r>
    </w:p>
    <w:p w:rsidR="004862AA" w:rsidRDefault="004862AA" w:rsidP="004862AA"/>
    <w:p w:rsidR="00BE2350" w:rsidRDefault="00BE2350"/>
    <w:p w:rsidR="00423D99" w:rsidRDefault="00423D99"/>
    <w:p w:rsidR="00423D99" w:rsidRDefault="00423D99"/>
    <w:p w:rsidR="00423D99" w:rsidRDefault="00423D99"/>
    <w:p w:rsidR="00423D99" w:rsidRDefault="00423D99"/>
    <w:p w:rsidR="0091702A" w:rsidRDefault="0091702A" w:rsidP="0091702A">
      <w:pPr>
        <w:spacing w:after="160" w:line="259" w:lineRule="auto"/>
      </w:pPr>
      <w:bookmarkStart w:id="3" w:name="_Toc31186744"/>
    </w:p>
    <w:p w:rsidR="002803D3" w:rsidRPr="006828E1" w:rsidRDefault="002803D3" w:rsidP="0091702A">
      <w:pPr>
        <w:spacing w:after="160" w:line="259" w:lineRule="auto"/>
        <w:rPr>
          <w:rFonts w:eastAsiaTheme="majorEastAsia"/>
          <w:b/>
          <w:bCs/>
          <w:sz w:val="32"/>
          <w:szCs w:val="32"/>
        </w:rPr>
      </w:pPr>
      <w:r w:rsidRPr="006828E1">
        <w:rPr>
          <w:rFonts w:eastAsiaTheme="majorEastAsia"/>
          <w:b/>
          <w:bCs/>
          <w:sz w:val="32"/>
          <w:szCs w:val="32"/>
        </w:rPr>
        <w:lastRenderedPageBreak/>
        <w:t>Before you start</w:t>
      </w:r>
      <w:bookmarkEnd w:id="3"/>
    </w:p>
    <w:p w:rsidR="006828E1" w:rsidRDefault="006828E1" w:rsidP="002803D3">
      <w:pPr>
        <w:rPr>
          <w:lang w:val="en"/>
        </w:rPr>
      </w:pPr>
    </w:p>
    <w:p w:rsidR="002803D3" w:rsidRDefault="002803D3" w:rsidP="002803D3">
      <w:pPr>
        <w:rPr>
          <w:lang w:val="en"/>
        </w:rPr>
      </w:pPr>
      <w:r w:rsidRPr="002803D3">
        <w:rPr>
          <w:lang w:val="en"/>
        </w:rPr>
        <w:t>The flowchart below is a high level view of the actions required to become compliant with national data opt-out policy.</w:t>
      </w:r>
    </w:p>
    <w:p w:rsidR="006828E1" w:rsidRPr="002803D3" w:rsidRDefault="006828E1" w:rsidP="002803D3">
      <w:pPr>
        <w:rPr>
          <w:lang w:val="en"/>
        </w:rPr>
      </w:pPr>
    </w:p>
    <w:p w:rsidR="002803D3" w:rsidRPr="002803D3" w:rsidRDefault="002803D3" w:rsidP="002803D3">
      <w:pPr>
        <w:rPr>
          <w:lang w:val="en"/>
        </w:rPr>
      </w:pPr>
      <w:r w:rsidRPr="002803D3">
        <w:rPr>
          <w:noProof/>
          <w:lang w:eastAsia="en-GB"/>
        </w:rPr>
        <w:drawing>
          <wp:inline distT="0" distB="0" distL="0" distR="0">
            <wp:extent cx="5153025" cy="6867525"/>
            <wp:effectExtent l="0" t="0" r="9525" b="9525"/>
            <wp:docPr id="1" name="Picture 1" descr="flowchart showing actions to take to achieve compliance with national data opt-out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showing actions to take to achieve compliance with national data opt-out poli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6867525"/>
                    </a:xfrm>
                    <a:prstGeom prst="rect">
                      <a:avLst/>
                    </a:prstGeom>
                    <a:noFill/>
                    <a:ln>
                      <a:noFill/>
                    </a:ln>
                  </pic:spPr>
                </pic:pic>
              </a:graphicData>
            </a:graphic>
          </wp:inline>
        </w:drawing>
      </w:r>
    </w:p>
    <w:p w:rsidR="0091702A" w:rsidRDefault="0091702A" w:rsidP="0091702A">
      <w:pPr>
        <w:spacing w:after="160" w:line="259" w:lineRule="auto"/>
      </w:pPr>
      <w:bookmarkStart w:id="4" w:name="_Toc31186745"/>
    </w:p>
    <w:p w:rsidR="0003301B" w:rsidRDefault="0003301B" w:rsidP="0091702A">
      <w:pPr>
        <w:spacing w:after="160" w:line="259" w:lineRule="auto"/>
        <w:jc w:val="center"/>
        <w:rPr>
          <w:b/>
        </w:rPr>
      </w:pPr>
      <w:r w:rsidRPr="006828E1">
        <w:rPr>
          <w:rFonts w:eastAsiaTheme="majorEastAsia"/>
          <w:b/>
          <w:bCs/>
          <w:sz w:val="32"/>
          <w:szCs w:val="32"/>
        </w:rPr>
        <w:lastRenderedPageBreak/>
        <w:t>Compliance with national data opt-out policy</w:t>
      </w:r>
      <w:bookmarkEnd w:id="4"/>
    </w:p>
    <w:p w:rsidR="0003301B" w:rsidRDefault="0003301B" w:rsidP="0003301B">
      <w:pPr>
        <w:jc w:val="center"/>
        <w:rPr>
          <w:b/>
        </w:rPr>
      </w:pPr>
    </w:p>
    <w:p w:rsidR="0003301B" w:rsidRPr="00417186" w:rsidRDefault="0003301B" w:rsidP="0003301B">
      <w:r w:rsidRPr="00417186">
        <w:t>GP practices must comply with the national data opt-out policy by March 2020.</w:t>
      </w:r>
    </w:p>
    <w:p w:rsidR="0003301B" w:rsidRPr="00417186" w:rsidRDefault="0003301B" w:rsidP="0003301B"/>
    <w:p w:rsidR="0003301B" w:rsidRPr="00417186" w:rsidRDefault="0003301B" w:rsidP="0003301B">
      <w:r w:rsidRPr="00417186">
        <w:t xml:space="preserve">To comply, practices need to have procedures in place to identify when they need to apply national data opt-outs so that the records for patients with a national data opt-out are removed before any data is disclosed. </w:t>
      </w:r>
    </w:p>
    <w:p w:rsidR="0003301B" w:rsidRPr="00417186" w:rsidRDefault="0003301B" w:rsidP="0003301B"/>
    <w:p w:rsidR="0003301B" w:rsidRPr="00417186" w:rsidRDefault="0003301B" w:rsidP="0003301B">
      <w:r w:rsidRPr="00417186">
        <w:t>To help GP practices to become compliant and to apply national data opt-outs, the four principal GP IT system suppliers are implementing new functionality in the reporting and search modules within their clinical systems. The functionality will enable practices to easily remove the records of patients who have registered a national data opt-out from data disclosures when the practice decides the opt-out applies.</w:t>
      </w:r>
    </w:p>
    <w:p w:rsidR="0003301B" w:rsidRPr="00417186" w:rsidRDefault="0003301B" w:rsidP="0003301B"/>
    <w:p w:rsidR="0003301B" w:rsidRPr="00417186" w:rsidRDefault="0003301B" w:rsidP="0003301B">
      <w:r w:rsidRPr="00417186">
        <w:t>Practices will need to ensure that any clinical system report (or search) used to generate that data disclosure is configured to remove national data opt-outs – using the new functionality when available.</w:t>
      </w:r>
    </w:p>
    <w:p w:rsidR="00417186" w:rsidRDefault="00417186" w:rsidP="0003301B">
      <w:pPr>
        <w:rPr>
          <w:b/>
        </w:rPr>
      </w:pPr>
    </w:p>
    <w:p w:rsidR="00417186" w:rsidRPr="008B1250" w:rsidRDefault="00417186" w:rsidP="00417186">
      <w:pPr>
        <w:rPr>
          <w:i/>
        </w:rPr>
      </w:pPr>
      <w:r w:rsidRPr="008B1250">
        <w:rPr>
          <w:i/>
        </w:rPr>
        <w:t>If the disclosure is generated from a pre-existing report (one which was created prior to the new functionality being available), it’s the responsibility of the practice, as data controller, to ensure that the report is edited to apply national data opt-outs before it is next run.</w:t>
      </w:r>
    </w:p>
    <w:p w:rsidR="00417186" w:rsidRPr="008B1250" w:rsidRDefault="00417186" w:rsidP="00417186">
      <w:pPr>
        <w:rPr>
          <w:i/>
        </w:rPr>
      </w:pPr>
      <w:r w:rsidRPr="008B1250">
        <w:rPr>
          <w:i/>
        </w:rPr>
        <w:t> </w:t>
      </w:r>
    </w:p>
    <w:p w:rsidR="00417186" w:rsidRPr="008B1250" w:rsidRDefault="00417186" w:rsidP="00417186">
      <w:pPr>
        <w:rPr>
          <w:i/>
        </w:rPr>
      </w:pPr>
      <w:r w:rsidRPr="008B1250">
        <w:rPr>
          <w:i/>
        </w:rPr>
        <w:t>If a new report is required, the practice must ensure that national data opt-outs are applied as appropriate when it is created.</w:t>
      </w:r>
    </w:p>
    <w:p w:rsidR="00417186" w:rsidRPr="008B1250" w:rsidRDefault="00417186" w:rsidP="00417186">
      <w:pPr>
        <w:rPr>
          <w:i/>
        </w:rPr>
      </w:pPr>
      <w:r w:rsidRPr="008B1250">
        <w:rPr>
          <w:i/>
        </w:rPr>
        <w:t> </w:t>
      </w:r>
    </w:p>
    <w:p w:rsidR="00417186" w:rsidRPr="008B1250" w:rsidRDefault="00417186" w:rsidP="00417186">
      <w:pPr>
        <w:rPr>
          <w:i/>
        </w:rPr>
      </w:pPr>
      <w:r w:rsidRPr="008B1250">
        <w:rPr>
          <w:i/>
        </w:rPr>
        <w:t>If the report used to generate the disclosure is one that the practice does not ‘own’ and is unable to edit (for example, one created or published by another organisation or system supplier), the practice must contact the owner or publisher to ensure that national data opt-outs are applied before data is disclosed.</w:t>
      </w:r>
    </w:p>
    <w:p w:rsidR="00417186" w:rsidRDefault="00417186" w:rsidP="0003301B">
      <w:pPr>
        <w:rPr>
          <w:b/>
        </w:rPr>
      </w:pPr>
    </w:p>
    <w:p w:rsidR="008B1250" w:rsidRDefault="008B1250" w:rsidP="0003301B">
      <w:pPr>
        <w:rPr>
          <w:b/>
        </w:rPr>
      </w:pPr>
    </w:p>
    <w:p w:rsidR="008B1250" w:rsidRDefault="008B1250" w:rsidP="0003301B">
      <w:r w:rsidRPr="008B1250">
        <w:t>Each supplier will provide guidance to their practices about how to use their new functionality, as the functionality is deployed.</w:t>
      </w:r>
    </w:p>
    <w:p w:rsidR="000F3372" w:rsidRDefault="000F3372" w:rsidP="0003301B"/>
    <w:p w:rsidR="000F3372" w:rsidRDefault="000F3372" w:rsidP="000F3372">
      <w:pPr>
        <w:rPr>
          <w:b/>
        </w:rPr>
      </w:pPr>
      <w:r>
        <w:rPr>
          <w:b/>
        </w:rPr>
        <w:t>The IG Team have contacted NHS Digital on when the functionality will be available, the response was, and they are hoping the service will be in placed early in the New Year for TPP and February for EMIS.</w:t>
      </w:r>
    </w:p>
    <w:p w:rsidR="000F3372" w:rsidRDefault="000F3372" w:rsidP="000F3372">
      <w:pPr>
        <w:rPr>
          <w:b/>
        </w:rPr>
      </w:pPr>
    </w:p>
    <w:p w:rsidR="000F3372" w:rsidRDefault="000F3372" w:rsidP="000F3372">
      <w:pPr>
        <w:rPr>
          <w:b/>
        </w:rPr>
      </w:pPr>
      <w:r>
        <w:rPr>
          <w:b/>
        </w:rPr>
        <w:t xml:space="preserve">NHS Digital have asked if any practices would like to be involved in testing the functionality to let Priscilla know, who </w:t>
      </w:r>
      <w:r w:rsidR="00133979">
        <w:rPr>
          <w:b/>
        </w:rPr>
        <w:t xml:space="preserve">will </w:t>
      </w:r>
      <w:r>
        <w:rPr>
          <w:b/>
        </w:rPr>
        <w:t>pass on your details.</w:t>
      </w:r>
    </w:p>
    <w:p w:rsidR="000F3372" w:rsidRDefault="000F3372" w:rsidP="0003301B"/>
    <w:p w:rsidR="00D42A6D" w:rsidRDefault="00D42A6D" w:rsidP="0003301B"/>
    <w:p w:rsidR="0091702A" w:rsidRDefault="0091702A" w:rsidP="0091702A">
      <w:pPr>
        <w:spacing w:after="160" w:line="259" w:lineRule="auto"/>
      </w:pPr>
      <w:bookmarkStart w:id="5" w:name="_Toc31186746"/>
    </w:p>
    <w:p w:rsidR="004D6C68" w:rsidRPr="0091702A" w:rsidRDefault="004D6C68" w:rsidP="0091702A">
      <w:pPr>
        <w:spacing w:after="160" w:line="259" w:lineRule="auto"/>
        <w:jc w:val="center"/>
        <w:rPr>
          <w:b/>
        </w:rPr>
      </w:pPr>
      <w:r w:rsidRPr="006828E1">
        <w:rPr>
          <w:rFonts w:eastAsiaTheme="majorEastAsia"/>
          <w:b/>
          <w:bCs/>
          <w:sz w:val="32"/>
          <w:szCs w:val="32"/>
        </w:rPr>
        <w:lastRenderedPageBreak/>
        <w:t>Preparing practice</w:t>
      </w:r>
      <w:r w:rsidR="00F42BC6" w:rsidRPr="006828E1">
        <w:rPr>
          <w:rFonts w:eastAsiaTheme="majorEastAsia"/>
          <w:b/>
          <w:bCs/>
          <w:sz w:val="32"/>
          <w:szCs w:val="32"/>
        </w:rPr>
        <w:t>s</w:t>
      </w:r>
      <w:r w:rsidRPr="006828E1">
        <w:rPr>
          <w:rFonts w:eastAsiaTheme="majorEastAsia"/>
          <w:b/>
          <w:bCs/>
          <w:sz w:val="32"/>
          <w:szCs w:val="32"/>
        </w:rPr>
        <w:t xml:space="preserve"> for the national data opt-out</w:t>
      </w:r>
      <w:bookmarkEnd w:id="5"/>
    </w:p>
    <w:p w:rsidR="004D6C68" w:rsidRPr="000F3372" w:rsidRDefault="004D6C68" w:rsidP="0003301B"/>
    <w:p w:rsidR="00F42BC6" w:rsidRDefault="00F42BC6" w:rsidP="00F42BC6">
      <w:pPr>
        <w:numPr>
          <w:ilvl w:val="0"/>
          <w:numId w:val="6"/>
        </w:numPr>
      </w:pPr>
      <w:r w:rsidRPr="000F3372">
        <w:t>New posters and handouts with information on obtaining supplies are being supplied by the NHS and should be displayed. Old ones, for example, previous privacy notices or material relating to care data should be removed</w:t>
      </w:r>
    </w:p>
    <w:p w:rsidR="000F3372" w:rsidRDefault="000F3372" w:rsidP="000F3372">
      <w:pPr>
        <w:ind w:left="720"/>
      </w:pPr>
    </w:p>
    <w:p w:rsidR="000F3372" w:rsidRDefault="00D00C2D" w:rsidP="000F3372">
      <w:pPr>
        <w:pStyle w:val="ListParagraph"/>
      </w:pPr>
      <w:hyperlink r:id="rId18" w:history="1">
        <w:r w:rsidR="000F3372">
          <w:rPr>
            <w:rStyle w:val="Hyperlink"/>
          </w:rPr>
          <w:t>https://digital.nhs.uk/services/national-data-opt-out/supporting-patients-information-and-resources</w:t>
        </w:r>
      </w:hyperlink>
    </w:p>
    <w:p w:rsidR="000F3372" w:rsidRPr="000F3372" w:rsidRDefault="000F3372" w:rsidP="000F3372"/>
    <w:p w:rsidR="00F42BC6" w:rsidRPr="000F3372" w:rsidRDefault="00F42BC6" w:rsidP="00F42BC6">
      <w:pPr>
        <w:ind w:left="720"/>
      </w:pPr>
    </w:p>
    <w:p w:rsidR="00F42BC6" w:rsidRPr="000F3372" w:rsidRDefault="00F42BC6" w:rsidP="00F42BC6">
      <w:pPr>
        <w:numPr>
          <w:ilvl w:val="0"/>
          <w:numId w:val="6"/>
        </w:numPr>
      </w:pPr>
      <w:r w:rsidRPr="000F3372">
        <w:t>The type 2 objection will no longer apply, so all reference to this needs to be removed from patient literature. The practices' privacy notices will also need to be updated to ensure they are applicable with the changed opt out arrangements</w:t>
      </w:r>
    </w:p>
    <w:p w:rsidR="00F42BC6" w:rsidRPr="000F3372" w:rsidRDefault="00F42BC6" w:rsidP="00F42BC6"/>
    <w:p w:rsidR="00F42BC6" w:rsidRPr="000F3372" w:rsidRDefault="00F42BC6" w:rsidP="00F42BC6">
      <w:pPr>
        <w:numPr>
          <w:ilvl w:val="0"/>
          <w:numId w:val="6"/>
        </w:numPr>
      </w:pPr>
      <w:r w:rsidRPr="000F3372">
        <w:t>Anyone with a type 2 in place will have had it automatically converted to a national data opt-out which will be respected by NHS Digital, so wishes will still be respected</w:t>
      </w:r>
    </w:p>
    <w:p w:rsidR="00F42BC6" w:rsidRPr="000F3372" w:rsidRDefault="00F42BC6" w:rsidP="00F42BC6">
      <w:pPr>
        <w:pStyle w:val="ListParagraph"/>
      </w:pPr>
    </w:p>
    <w:p w:rsidR="00F42BC6" w:rsidRPr="000F3372" w:rsidRDefault="00F42BC6" w:rsidP="00F42BC6">
      <w:pPr>
        <w:ind w:left="720"/>
      </w:pPr>
    </w:p>
    <w:p w:rsidR="00F42BC6" w:rsidRPr="000F3372" w:rsidRDefault="00F42BC6" w:rsidP="00F42BC6">
      <w:pPr>
        <w:numPr>
          <w:ilvl w:val="0"/>
          <w:numId w:val="6"/>
        </w:numPr>
      </w:pPr>
      <w:r w:rsidRPr="000F3372">
        <w:t>The type 1 objection remains in place at least until March 2020 and all literature should reflect this</w:t>
      </w:r>
    </w:p>
    <w:p w:rsidR="00F42BC6" w:rsidRPr="000F3372" w:rsidRDefault="00F42BC6" w:rsidP="00F42BC6">
      <w:pPr>
        <w:ind w:left="720"/>
      </w:pPr>
    </w:p>
    <w:p w:rsidR="00F42BC6" w:rsidRPr="000F3372" w:rsidRDefault="00F42BC6" w:rsidP="00F42BC6">
      <w:pPr>
        <w:numPr>
          <w:ilvl w:val="0"/>
          <w:numId w:val="6"/>
        </w:numPr>
      </w:pPr>
      <w:r w:rsidRPr="000F3372">
        <w:t>All practice staff need to be aware that there is a change in patients’ opt out options. They need to know where to direct patients for further information and to be aware of the need to ensure all documentation being supplied to patients is accurate and up to date</w:t>
      </w:r>
    </w:p>
    <w:p w:rsidR="00F42BC6" w:rsidRPr="000F3372" w:rsidRDefault="00F42BC6" w:rsidP="00F42BC6">
      <w:pPr>
        <w:pStyle w:val="ListParagraph"/>
      </w:pPr>
    </w:p>
    <w:p w:rsidR="00F42BC6" w:rsidRPr="000F3372" w:rsidRDefault="00F42BC6" w:rsidP="00F42BC6">
      <w:pPr>
        <w:ind w:left="720"/>
      </w:pPr>
    </w:p>
    <w:p w:rsidR="00F42BC6" w:rsidRPr="000F3372" w:rsidRDefault="00F42BC6" w:rsidP="00F42BC6">
      <w:pPr>
        <w:numPr>
          <w:ilvl w:val="0"/>
          <w:numId w:val="6"/>
        </w:numPr>
      </w:pPr>
      <w:r w:rsidRPr="000F3372">
        <w:t>As the digital channel uses email or telephone details for verification purposes, practices should maintain their efforts to keep this information current on their system and up to date with PDS</w:t>
      </w:r>
    </w:p>
    <w:p w:rsidR="00F42BC6" w:rsidRPr="00F42BC6" w:rsidRDefault="00F42BC6" w:rsidP="00F42BC6">
      <w:pPr>
        <w:rPr>
          <w:rFonts w:asciiTheme="minorHAnsi" w:hAnsiTheme="minorHAnsi" w:cstheme="minorHAnsi"/>
          <w:color w:val="002060"/>
        </w:rPr>
      </w:pPr>
    </w:p>
    <w:p w:rsidR="00F42BC6" w:rsidRDefault="00F42BC6"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0F3372" w:rsidRDefault="000F3372" w:rsidP="0003301B">
      <w:pPr>
        <w:rPr>
          <w:color w:val="002060"/>
        </w:rPr>
      </w:pPr>
    </w:p>
    <w:p w:rsidR="0091702A" w:rsidRDefault="0091702A" w:rsidP="0091702A">
      <w:pPr>
        <w:tabs>
          <w:tab w:val="left" w:pos="5660"/>
        </w:tabs>
        <w:rPr>
          <w:color w:val="002060"/>
        </w:rPr>
      </w:pPr>
      <w:bookmarkStart w:id="6" w:name="_Toc31186747"/>
    </w:p>
    <w:p w:rsidR="000F3372" w:rsidRPr="0091702A" w:rsidRDefault="000F3372" w:rsidP="0091702A">
      <w:pPr>
        <w:tabs>
          <w:tab w:val="left" w:pos="5660"/>
        </w:tabs>
        <w:jc w:val="center"/>
        <w:rPr>
          <w:color w:val="002060"/>
        </w:rPr>
      </w:pPr>
      <w:r w:rsidRPr="006828E1">
        <w:rPr>
          <w:rFonts w:eastAsiaTheme="majorEastAsia"/>
          <w:b/>
          <w:bCs/>
          <w:sz w:val="32"/>
          <w:szCs w:val="32"/>
        </w:rPr>
        <w:lastRenderedPageBreak/>
        <w:t>Compliance Implementation Guide - Checklist</w:t>
      </w:r>
      <w:bookmarkEnd w:id="6"/>
    </w:p>
    <w:p w:rsidR="000F3372" w:rsidRPr="000F3372" w:rsidRDefault="000F3372" w:rsidP="000F3372"/>
    <w:p w:rsidR="000F3372" w:rsidRPr="000F3372" w:rsidRDefault="000F3372" w:rsidP="000F3372">
      <w:r w:rsidRPr="000F3372">
        <w:t xml:space="preserve">Completion of this checklist will help your </w:t>
      </w:r>
      <w:r w:rsidR="004945D1">
        <w:t>surgery</w:t>
      </w:r>
      <w:r w:rsidRPr="000F3372">
        <w:t xml:space="preserve"> to ensure you are ready to declare compliance with the national data opt-out policy.  </w:t>
      </w:r>
    </w:p>
    <w:p w:rsidR="000F3372" w:rsidRPr="000F3372" w:rsidRDefault="000F3372" w:rsidP="000F3372"/>
    <w:p w:rsidR="000F3372" w:rsidRPr="000F3372" w:rsidRDefault="000F3372" w:rsidP="000F3372">
      <w:r w:rsidRPr="000F3372">
        <w:t xml:space="preserve">You should read this in conjunction with the detailed actions and guidance in the Compliance Implementation Guide at </w:t>
      </w:r>
      <w:hyperlink r:id="rId19" w:history="1">
        <w:r w:rsidRPr="000F3372">
          <w:rPr>
            <w:color w:val="0563C1" w:themeColor="hyperlink"/>
            <w:u w:val="single"/>
          </w:rPr>
          <w:t>https://digital.nhs.uk/services/national-data-opt-out-programme/compliance-with-the-national-data-opt-out</w:t>
        </w:r>
      </w:hyperlink>
    </w:p>
    <w:p w:rsidR="000F3372" w:rsidRPr="000F3372" w:rsidRDefault="000F3372" w:rsidP="000F3372"/>
    <w:p w:rsidR="000F3372" w:rsidRPr="000F3372" w:rsidRDefault="000F3372" w:rsidP="000F3372">
      <w:pPr>
        <w:rPr>
          <w:b/>
          <w:sz w:val="28"/>
          <w:szCs w:val="28"/>
        </w:rPr>
      </w:pPr>
      <w:r w:rsidRPr="000F3372">
        <w:rPr>
          <w:b/>
          <w:sz w:val="28"/>
          <w:szCs w:val="28"/>
        </w:rPr>
        <w:t>1.  Assess data disclosures and update procedures</w:t>
      </w:r>
    </w:p>
    <w:p w:rsidR="000F3372" w:rsidRPr="000F3372" w:rsidRDefault="000F3372" w:rsidP="000F3372">
      <w:pPr>
        <w:ind w:left="360"/>
      </w:pPr>
      <w:bookmarkStart w:id="7" w:name="_Hlk5255631"/>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3"/>
      </w:tblGrid>
      <w:tr w:rsidR="000F3372" w:rsidRPr="000F3372" w:rsidTr="00E54049">
        <w:trPr>
          <w:trHeight w:val="831"/>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Current data disclosures assessed to identify any within the scope of national data opt-out policy</w:t>
            </w:r>
          </w:p>
        </w:tc>
      </w:tr>
      <w:tr w:rsidR="000F3372" w:rsidRPr="000F3372" w:rsidTr="00E54049">
        <w:trPr>
          <w:trHeight w:val="1013"/>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Process for handling new disclosure requests has been updated to make sure national data opt-out policy is considered before data disclosures take place</w:t>
            </w:r>
          </w:p>
        </w:tc>
      </w:tr>
    </w:tbl>
    <w:p w:rsidR="000F3372" w:rsidRPr="000F3372" w:rsidRDefault="000F3372" w:rsidP="000F3372">
      <w:pPr>
        <w:ind w:left="360" w:hanging="360"/>
        <w:rPr>
          <w:b/>
          <w:sz w:val="28"/>
          <w:szCs w:val="28"/>
        </w:rPr>
      </w:pPr>
      <w:bookmarkStart w:id="8" w:name="_Toc865656"/>
    </w:p>
    <w:bookmarkEnd w:id="7"/>
    <w:p w:rsidR="000F3372" w:rsidRPr="000F3372" w:rsidRDefault="000F3372" w:rsidP="000F3372">
      <w:pPr>
        <w:ind w:left="360" w:hanging="360"/>
        <w:rPr>
          <w:b/>
          <w:sz w:val="28"/>
          <w:szCs w:val="28"/>
        </w:rPr>
      </w:pPr>
      <w:r w:rsidRPr="000F3372">
        <w:rPr>
          <w:b/>
          <w:sz w:val="28"/>
          <w:szCs w:val="28"/>
        </w:rPr>
        <w:t xml:space="preserve">2.  </w:t>
      </w:r>
      <w:bookmarkEnd w:id="8"/>
      <w:r w:rsidRPr="000F3372">
        <w:rPr>
          <w:b/>
          <w:sz w:val="28"/>
          <w:szCs w:val="28"/>
        </w:rPr>
        <w:t>Need to apply national data opt-outs?</w:t>
      </w:r>
    </w:p>
    <w:p w:rsidR="000F3372" w:rsidRPr="000F3372" w:rsidRDefault="000F3372" w:rsidP="000F3372">
      <w:pPr>
        <w:ind w:left="360" w:hanging="360"/>
        <w:rPr>
          <w:b/>
          <w:sz w:val="28"/>
          <w:szCs w:val="28"/>
        </w:rPr>
      </w:pPr>
    </w:p>
    <w:p w:rsidR="000F3372" w:rsidRPr="000F3372" w:rsidRDefault="000F3372" w:rsidP="000F3372">
      <w:pPr>
        <w:ind w:left="142"/>
        <w:rPr>
          <w:b/>
        </w:rPr>
      </w:pPr>
      <w:r w:rsidRPr="000F3372">
        <w:rPr>
          <w:b/>
        </w:rPr>
        <w:t>If ‘Yes’ follow actions 3 and 4 to implement the technical solution* and processes</w:t>
      </w:r>
    </w:p>
    <w:p w:rsidR="000F3372" w:rsidRPr="000F3372" w:rsidRDefault="000F3372" w:rsidP="000F3372">
      <w:pPr>
        <w:ind w:left="142"/>
        <w:rPr>
          <w:rFonts w:asciiTheme="minorHAnsi" w:hAnsiTheme="minorHAnsi" w:cstheme="minorBidi"/>
          <w:i/>
          <w:sz w:val="22"/>
          <w:szCs w:val="22"/>
        </w:rPr>
      </w:pPr>
      <w:r w:rsidRPr="000F3372">
        <w:rPr>
          <w:i/>
        </w:rPr>
        <w:t xml:space="preserve">(*The technical solution is being implemented by the GP systems suppliers within their systems. If you are a GP practice or another organisation using a TPP SystmOne module you will </w:t>
      </w:r>
      <w:r w:rsidRPr="000F3372">
        <w:rPr>
          <w:i/>
          <w:u w:val="single"/>
        </w:rPr>
        <w:t>not</w:t>
      </w:r>
      <w:r w:rsidRPr="000F3372">
        <w:rPr>
          <w:i/>
        </w:rPr>
        <w:t xml:space="preserve"> need to set up the MESH service separately and can go to action 4, unless you use other IT systems to create data disclosures.)</w:t>
      </w:r>
      <w:r w:rsidRPr="000F3372">
        <w:rPr>
          <w:b/>
          <w:i/>
        </w:rPr>
        <w:t>**As a CCG we assume it means ALL systems and not just systmone</w:t>
      </w:r>
    </w:p>
    <w:p w:rsidR="000F3372" w:rsidRPr="000F3372" w:rsidRDefault="000F3372" w:rsidP="000F3372">
      <w:pPr>
        <w:widowControl w:val="0"/>
        <w:autoSpaceDE w:val="0"/>
        <w:autoSpaceDN w:val="0"/>
        <w:ind w:left="284" w:right="40" w:hanging="284"/>
        <w:jc w:val="both"/>
        <w:rPr>
          <w:rFonts w:eastAsia="Arial"/>
          <w:lang w:eastAsia="en-GB" w:bidi="en-GB"/>
        </w:rPr>
      </w:pPr>
    </w:p>
    <w:p w:rsidR="000F3372" w:rsidRPr="000F3372" w:rsidRDefault="000F3372" w:rsidP="000F3372">
      <w:pPr>
        <w:ind w:left="142"/>
        <w:rPr>
          <w:b/>
          <w:sz w:val="28"/>
          <w:szCs w:val="28"/>
        </w:rPr>
      </w:pPr>
      <w:r w:rsidRPr="000F3372">
        <w:rPr>
          <w:b/>
        </w:rPr>
        <w:t>If ‘No’ go straight to action 5 – communications and compliance</w:t>
      </w:r>
    </w:p>
    <w:p w:rsidR="000F3372" w:rsidRPr="000F3372" w:rsidRDefault="000F3372" w:rsidP="000F3372">
      <w:pPr>
        <w:ind w:left="142"/>
      </w:pPr>
      <w:r w:rsidRPr="000F3372">
        <w:t>-</w:t>
      </w:r>
    </w:p>
    <w:p w:rsidR="000F3372" w:rsidRPr="000F3372" w:rsidRDefault="000F3372" w:rsidP="000F3372">
      <w:pPr>
        <w:ind w:left="142"/>
      </w:pPr>
    </w:p>
    <w:p w:rsidR="000F3372" w:rsidRPr="000F3372" w:rsidRDefault="000F3372" w:rsidP="000F3372">
      <w:r w:rsidRPr="000F3372">
        <w:rPr>
          <w:b/>
          <w:sz w:val="28"/>
          <w:szCs w:val="28"/>
        </w:rPr>
        <w:t xml:space="preserve">3.  Set up technical solution </w:t>
      </w:r>
    </w:p>
    <w:tbl>
      <w:tblPr>
        <w:tblStyle w:val="TableGrid"/>
        <w:tblpPr w:leftFromText="180" w:rightFromText="180" w:vertAnchor="text" w:horzAnchor="margin" w:tblpX="132" w:tblpY="96"/>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95"/>
      </w:tblGrid>
      <w:tr w:rsidR="000F3372" w:rsidRPr="000F3372" w:rsidTr="00E54049">
        <w:trPr>
          <w:trHeight w:val="706"/>
        </w:trPr>
        <w:tc>
          <w:tcPr>
            <w:tcW w:w="846" w:type="dxa"/>
          </w:tcPr>
          <w:p w:rsidR="000F3372" w:rsidRPr="000F3372" w:rsidRDefault="000F3372" w:rsidP="000F3372">
            <w:pPr>
              <w:numPr>
                <w:ilvl w:val="0"/>
                <w:numId w:val="8"/>
              </w:numPr>
              <w:spacing w:after="240"/>
              <w:ind w:left="22" w:hanging="22"/>
            </w:pPr>
          </w:p>
        </w:tc>
        <w:tc>
          <w:tcPr>
            <w:tcW w:w="8595" w:type="dxa"/>
          </w:tcPr>
          <w:p w:rsidR="000F3372" w:rsidRPr="000F3372" w:rsidRDefault="000F3372" w:rsidP="000F3372">
            <w:pPr>
              <w:spacing w:before="120" w:after="240"/>
              <w:ind w:left="142"/>
            </w:pPr>
            <w:r w:rsidRPr="000F3372">
              <w:t>Messaging Exchange for Social Care and Health (MESH) client software is installed</w:t>
            </w:r>
          </w:p>
        </w:tc>
      </w:tr>
      <w:tr w:rsidR="000F3372" w:rsidRPr="000F3372" w:rsidTr="00E54049">
        <w:tc>
          <w:tcPr>
            <w:tcW w:w="846" w:type="dxa"/>
          </w:tcPr>
          <w:p w:rsidR="000F3372" w:rsidRPr="000F3372" w:rsidRDefault="000F3372" w:rsidP="000F3372">
            <w:pPr>
              <w:numPr>
                <w:ilvl w:val="0"/>
                <w:numId w:val="8"/>
              </w:numPr>
              <w:spacing w:after="240"/>
              <w:ind w:left="22" w:hanging="22"/>
            </w:pPr>
          </w:p>
        </w:tc>
        <w:tc>
          <w:tcPr>
            <w:tcW w:w="8595" w:type="dxa"/>
          </w:tcPr>
          <w:p w:rsidR="000F3372" w:rsidRPr="000F3372" w:rsidRDefault="000F3372" w:rsidP="000F3372">
            <w:pPr>
              <w:spacing w:before="120" w:after="240"/>
              <w:ind w:left="142"/>
            </w:pPr>
            <w:r w:rsidRPr="000F3372">
              <w:t>MESH mailbox in place that can be used with the Check for National Data Opt-outs service</w:t>
            </w:r>
          </w:p>
        </w:tc>
      </w:tr>
      <w:tr w:rsidR="000F3372" w:rsidRPr="000F3372" w:rsidTr="00E54049">
        <w:tc>
          <w:tcPr>
            <w:tcW w:w="846" w:type="dxa"/>
          </w:tcPr>
          <w:p w:rsidR="000F3372" w:rsidRPr="000F3372" w:rsidRDefault="000F3372" w:rsidP="000F3372">
            <w:pPr>
              <w:numPr>
                <w:ilvl w:val="0"/>
                <w:numId w:val="8"/>
              </w:numPr>
              <w:spacing w:after="240"/>
              <w:ind w:left="22" w:hanging="22"/>
            </w:pPr>
          </w:p>
        </w:tc>
        <w:tc>
          <w:tcPr>
            <w:tcW w:w="8595" w:type="dxa"/>
          </w:tcPr>
          <w:p w:rsidR="000F3372" w:rsidRPr="000F3372" w:rsidRDefault="000F3372" w:rsidP="000F3372">
            <w:pPr>
              <w:spacing w:before="120" w:after="240"/>
              <w:ind w:left="142"/>
            </w:pPr>
            <w:r w:rsidRPr="000F3372">
              <w:t>Process in place for creating a list of NHS numbers that need to be checked from the data prepared for disclosure</w:t>
            </w:r>
          </w:p>
        </w:tc>
      </w:tr>
      <w:tr w:rsidR="000F3372" w:rsidRPr="000F3372" w:rsidTr="00E54049">
        <w:tc>
          <w:tcPr>
            <w:tcW w:w="846" w:type="dxa"/>
          </w:tcPr>
          <w:p w:rsidR="000F3372" w:rsidRPr="000F3372" w:rsidRDefault="000F3372" w:rsidP="000F3372">
            <w:pPr>
              <w:numPr>
                <w:ilvl w:val="0"/>
                <w:numId w:val="8"/>
              </w:numPr>
              <w:spacing w:after="240"/>
              <w:ind w:left="22" w:firstLine="0"/>
            </w:pPr>
          </w:p>
        </w:tc>
        <w:tc>
          <w:tcPr>
            <w:tcW w:w="8595" w:type="dxa"/>
          </w:tcPr>
          <w:p w:rsidR="000F3372" w:rsidRPr="000F3372" w:rsidRDefault="000F3372" w:rsidP="000F3372">
            <w:pPr>
              <w:spacing w:before="120" w:after="240"/>
              <w:ind w:left="142"/>
            </w:pPr>
            <w:r w:rsidRPr="000F3372">
              <w:t>Process in place for creating the files to be sent to the MESH service</w:t>
            </w:r>
          </w:p>
        </w:tc>
      </w:tr>
      <w:tr w:rsidR="000F3372" w:rsidRPr="000F3372" w:rsidTr="00E54049">
        <w:tc>
          <w:tcPr>
            <w:tcW w:w="846" w:type="dxa"/>
          </w:tcPr>
          <w:p w:rsidR="000F3372" w:rsidRPr="000F3372" w:rsidRDefault="000F3372" w:rsidP="000F3372">
            <w:pPr>
              <w:numPr>
                <w:ilvl w:val="0"/>
                <w:numId w:val="8"/>
              </w:numPr>
              <w:spacing w:after="240"/>
              <w:ind w:left="22" w:firstLine="0"/>
            </w:pPr>
          </w:p>
        </w:tc>
        <w:tc>
          <w:tcPr>
            <w:tcW w:w="8595" w:type="dxa"/>
          </w:tcPr>
          <w:p w:rsidR="000F3372" w:rsidRPr="000F3372" w:rsidRDefault="000F3372" w:rsidP="000F3372">
            <w:pPr>
              <w:spacing w:before="120" w:after="240"/>
              <w:ind w:left="142"/>
            </w:pPr>
            <w:r w:rsidRPr="000F3372">
              <w:t>Process in place to use the returned files to create an updated set of data to be disclosed, with national data opt-outs removed</w:t>
            </w:r>
          </w:p>
        </w:tc>
      </w:tr>
      <w:tr w:rsidR="000F3372" w:rsidRPr="000F3372" w:rsidTr="00E54049">
        <w:tc>
          <w:tcPr>
            <w:tcW w:w="846" w:type="dxa"/>
          </w:tcPr>
          <w:p w:rsidR="000F3372" w:rsidRPr="000F3372" w:rsidRDefault="000F3372" w:rsidP="000F3372">
            <w:pPr>
              <w:numPr>
                <w:ilvl w:val="0"/>
                <w:numId w:val="8"/>
              </w:numPr>
              <w:spacing w:after="240"/>
              <w:ind w:left="22" w:firstLine="0"/>
            </w:pPr>
          </w:p>
        </w:tc>
        <w:tc>
          <w:tcPr>
            <w:tcW w:w="8595" w:type="dxa"/>
          </w:tcPr>
          <w:p w:rsidR="000F3372" w:rsidRPr="000F3372" w:rsidRDefault="000F3372" w:rsidP="000F3372">
            <w:pPr>
              <w:spacing w:before="120" w:after="240"/>
              <w:ind w:left="142"/>
            </w:pPr>
            <w:r w:rsidRPr="000F3372">
              <w:t>Process in place to confirm opt-outs have been applied and that data can now be disclosed</w:t>
            </w:r>
          </w:p>
        </w:tc>
      </w:tr>
    </w:tbl>
    <w:p w:rsidR="000F3372" w:rsidRPr="000F3372" w:rsidRDefault="000F3372" w:rsidP="000F3372"/>
    <w:p w:rsidR="000F3372" w:rsidRPr="000F3372" w:rsidRDefault="000F3372" w:rsidP="000F3372">
      <w:pPr>
        <w:rPr>
          <w:b/>
          <w:sz w:val="28"/>
          <w:szCs w:val="28"/>
        </w:rPr>
      </w:pPr>
      <w:r w:rsidRPr="000F3372">
        <w:rPr>
          <w:b/>
          <w:sz w:val="28"/>
          <w:szCs w:val="28"/>
        </w:rPr>
        <w:t>4. Implement new processes</w:t>
      </w:r>
    </w:p>
    <w:p w:rsidR="000F3372" w:rsidRPr="000F3372" w:rsidRDefault="000F3372" w:rsidP="000F3372">
      <w:pPr>
        <w:rPr>
          <w:b/>
          <w:sz w:val="28"/>
          <w:szCs w:val="28"/>
        </w:rPr>
      </w:pPr>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3"/>
      </w:tblGrid>
      <w:tr w:rsidR="000F3372" w:rsidRPr="000F3372" w:rsidTr="00E54049">
        <w:trPr>
          <w:trHeight w:val="840"/>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Data Protection Impact Assessment (DPIA) completed</w:t>
            </w:r>
          </w:p>
        </w:tc>
      </w:tr>
      <w:tr w:rsidR="000F3372" w:rsidRPr="000F3372" w:rsidTr="00E54049">
        <w:trPr>
          <w:trHeight w:val="838"/>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New processes documented and included in Standard Operating Procedures or equivalent written instructions</w:t>
            </w:r>
          </w:p>
        </w:tc>
      </w:tr>
    </w:tbl>
    <w:p w:rsidR="000F3372" w:rsidRPr="000F3372" w:rsidRDefault="000F3372" w:rsidP="000F3372">
      <w:pPr>
        <w:rPr>
          <w:b/>
          <w:sz w:val="28"/>
          <w:szCs w:val="28"/>
        </w:rPr>
      </w:pPr>
    </w:p>
    <w:p w:rsidR="000F3372" w:rsidRPr="000F3372" w:rsidRDefault="000F3372" w:rsidP="000F3372">
      <w:pPr>
        <w:rPr>
          <w:b/>
          <w:sz w:val="28"/>
          <w:szCs w:val="28"/>
        </w:rPr>
      </w:pPr>
      <w:r w:rsidRPr="000F3372">
        <w:rPr>
          <w:b/>
          <w:sz w:val="28"/>
          <w:szCs w:val="28"/>
        </w:rPr>
        <w:t>5. Communications and declaring compliance</w:t>
      </w:r>
    </w:p>
    <w:p w:rsidR="000F3372" w:rsidRPr="000F3372" w:rsidRDefault="000F3372" w:rsidP="000F3372"/>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3"/>
      </w:tblGrid>
      <w:tr w:rsidR="000F3372" w:rsidRPr="000F3372" w:rsidTr="00E54049">
        <w:trPr>
          <w:trHeight w:val="828"/>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Internal communications complete</w:t>
            </w:r>
          </w:p>
        </w:tc>
      </w:tr>
      <w:tr w:rsidR="000F3372" w:rsidRPr="000F3372" w:rsidTr="00E54049">
        <w:trPr>
          <w:trHeight w:val="840"/>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Patient communications are ready</w:t>
            </w:r>
          </w:p>
        </w:tc>
      </w:tr>
      <w:tr w:rsidR="000F3372" w:rsidRPr="000F3372" w:rsidTr="00E54049">
        <w:trPr>
          <w:trHeight w:val="838"/>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Communications for other organisations are ready</w:t>
            </w:r>
          </w:p>
        </w:tc>
      </w:tr>
      <w:tr w:rsidR="000F3372" w:rsidRPr="000F3372" w:rsidTr="00E54049">
        <w:trPr>
          <w:trHeight w:val="850"/>
        </w:trPr>
        <w:tc>
          <w:tcPr>
            <w:tcW w:w="851" w:type="dxa"/>
          </w:tcPr>
          <w:p w:rsidR="000F3372" w:rsidRPr="000F3372" w:rsidRDefault="000F3372" w:rsidP="000F3372">
            <w:pPr>
              <w:numPr>
                <w:ilvl w:val="0"/>
                <w:numId w:val="9"/>
              </w:numPr>
              <w:ind w:hanging="774"/>
            </w:pPr>
          </w:p>
        </w:tc>
        <w:tc>
          <w:tcPr>
            <w:tcW w:w="8363" w:type="dxa"/>
          </w:tcPr>
          <w:p w:rsidR="000F3372" w:rsidRPr="000F3372" w:rsidRDefault="000F3372" w:rsidP="000F3372">
            <w:pPr>
              <w:spacing w:before="120"/>
              <w:ind w:left="40"/>
            </w:pPr>
            <w:r w:rsidRPr="000F3372">
              <w:t>Date to declare compliance decided</w:t>
            </w:r>
          </w:p>
        </w:tc>
      </w:tr>
    </w:tbl>
    <w:p w:rsidR="000F3372" w:rsidRPr="000F3372" w:rsidRDefault="000F3372" w:rsidP="000F3372">
      <w:pPr>
        <w:ind w:left="360" w:hanging="360"/>
        <w:rPr>
          <w:b/>
          <w:sz w:val="28"/>
          <w:szCs w:val="28"/>
        </w:rPr>
      </w:pPr>
    </w:p>
    <w:p w:rsidR="000F3372" w:rsidRPr="000F3372" w:rsidRDefault="000F3372" w:rsidP="000F3372">
      <w:pPr>
        <w:rPr>
          <w:b/>
          <w:sz w:val="28"/>
          <w:szCs w:val="28"/>
        </w:rPr>
      </w:pPr>
      <w:r w:rsidRPr="000F3372">
        <w:rPr>
          <w:b/>
          <w:sz w:val="28"/>
          <w:szCs w:val="28"/>
        </w:rPr>
        <w:t>You are ready to declare compliance</w:t>
      </w:r>
    </w:p>
    <w:p w:rsidR="000F3372" w:rsidRPr="000F3372" w:rsidRDefault="000F3372" w:rsidP="000F3372"/>
    <w:p w:rsidR="000F3372" w:rsidRDefault="000F3372" w:rsidP="0003301B">
      <w:pPr>
        <w:rPr>
          <w:color w:val="002060"/>
        </w:rPr>
      </w:pPr>
    </w:p>
    <w:p w:rsidR="005D568A" w:rsidRDefault="005D568A" w:rsidP="0003301B">
      <w:pPr>
        <w:rPr>
          <w:color w:val="002060"/>
        </w:rPr>
      </w:pPr>
    </w:p>
    <w:p w:rsidR="005D568A" w:rsidRDefault="005D568A" w:rsidP="0003301B">
      <w:pPr>
        <w:rPr>
          <w:color w:val="002060"/>
        </w:rPr>
      </w:pPr>
    </w:p>
    <w:p w:rsidR="005D568A" w:rsidRDefault="005D568A" w:rsidP="0003301B">
      <w:pPr>
        <w:rPr>
          <w:color w:val="002060"/>
        </w:rPr>
      </w:pPr>
    </w:p>
    <w:p w:rsidR="005D568A" w:rsidRDefault="005D568A" w:rsidP="0003301B">
      <w:pPr>
        <w:rPr>
          <w:color w:val="002060"/>
        </w:rPr>
      </w:pPr>
    </w:p>
    <w:p w:rsidR="005D568A" w:rsidRDefault="005D568A" w:rsidP="0003301B">
      <w:pPr>
        <w:rPr>
          <w:color w:val="002060"/>
        </w:rPr>
      </w:pPr>
    </w:p>
    <w:p w:rsidR="005D568A" w:rsidRDefault="005D568A" w:rsidP="0003301B">
      <w:pPr>
        <w:rPr>
          <w:color w:val="002060"/>
        </w:rPr>
      </w:pPr>
    </w:p>
    <w:p w:rsidR="005D568A" w:rsidRPr="006828E1" w:rsidRDefault="005D568A" w:rsidP="0091702A">
      <w:pPr>
        <w:keepNext/>
        <w:keepLines/>
        <w:jc w:val="center"/>
        <w:outlineLvl w:val="1"/>
        <w:rPr>
          <w:rFonts w:eastAsiaTheme="majorEastAsia"/>
          <w:b/>
          <w:bCs/>
          <w:sz w:val="32"/>
          <w:szCs w:val="32"/>
        </w:rPr>
      </w:pPr>
      <w:bookmarkStart w:id="9" w:name="_Toc31186748"/>
      <w:r w:rsidRPr="006828E1">
        <w:rPr>
          <w:rFonts w:eastAsiaTheme="majorEastAsia"/>
          <w:b/>
          <w:bCs/>
          <w:sz w:val="32"/>
          <w:szCs w:val="32"/>
        </w:rPr>
        <w:lastRenderedPageBreak/>
        <w:t>Recommended text for privacy notices</w:t>
      </w:r>
      <w:bookmarkEnd w:id="9"/>
    </w:p>
    <w:p w:rsidR="005D568A" w:rsidRDefault="005D568A" w:rsidP="005D568A"/>
    <w:p w:rsidR="005D568A" w:rsidRPr="005D568A" w:rsidRDefault="005D568A" w:rsidP="005D568A">
      <w:r w:rsidRPr="005D568A">
        <w:t>Recommended text to include in your practices patient privacy notice.</w:t>
      </w:r>
    </w:p>
    <w:p w:rsidR="005D568A" w:rsidRPr="005D568A" w:rsidRDefault="005D568A" w:rsidP="005D568A">
      <w:pPr>
        <w:rPr>
          <w:b/>
        </w:rPr>
      </w:pPr>
    </w:p>
    <w:p w:rsidR="005D568A" w:rsidRPr="005D568A" w:rsidRDefault="005D568A" w:rsidP="005D568A">
      <w:pPr>
        <w:spacing w:after="200" w:line="276" w:lineRule="auto"/>
        <w:rPr>
          <w:rFonts w:eastAsia="Calibri"/>
          <w:b/>
        </w:rPr>
      </w:pPr>
      <w:r w:rsidRPr="005D568A">
        <w:rPr>
          <w:rFonts w:eastAsia="Calibri"/>
          <w:b/>
        </w:rPr>
        <w:t>Privacy Notice – Template Transparency Statement, (version 2)</w:t>
      </w:r>
    </w:p>
    <w:p w:rsidR="005D568A" w:rsidRPr="005D568A" w:rsidRDefault="005D568A" w:rsidP="005D568A">
      <w:pPr>
        <w:spacing w:after="200" w:line="276" w:lineRule="auto"/>
        <w:rPr>
          <w:rFonts w:eastAsia="Calibri"/>
        </w:rPr>
      </w:pPr>
      <w:r w:rsidRPr="005D568A">
        <w:rPr>
          <w:rFonts w:eastAsia="Calibri"/>
        </w:rPr>
        <w:t>The following is a recommended set of text to reference the wider use of a patient’s health and care data by local and national NHS and care organisations that can be added to an organisation’s website alongside the organisation’s Privacy Notice. It is intended to provide a simple easy to understand message about the wider uses of data, drawing upon the language used in other materials which has been tested with patients and the public. The intention of the Template Transparency Statement is to point patients to the national online resources that have been created to support this communication to patients, and to ensure they are aware that they have a choice about the use of confidential patient information about them being used for purposes beyond their individual care.</w:t>
      </w:r>
    </w:p>
    <w:p w:rsidR="005D568A" w:rsidRPr="005D568A" w:rsidRDefault="005D568A" w:rsidP="005D568A">
      <w:pPr>
        <w:spacing w:after="200" w:line="276" w:lineRule="auto"/>
        <w:rPr>
          <w:rFonts w:eastAsia="Calibri"/>
        </w:rPr>
      </w:pPr>
      <w:r w:rsidRPr="005D568A">
        <w:rPr>
          <w:rFonts w:eastAsia="Calibri"/>
        </w:rPr>
        <w:t xml:space="preserve">This is not intended to replace the </w:t>
      </w:r>
      <w:r w:rsidR="003D01ED">
        <w:rPr>
          <w:rFonts w:eastAsia="Calibri"/>
        </w:rPr>
        <w:t>practice’s</w:t>
      </w:r>
      <w:r w:rsidRPr="005D568A">
        <w:rPr>
          <w:rFonts w:eastAsia="Calibri"/>
        </w:rPr>
        <w:t xml:space="preserve"> own Privacy Notice which needs to be specific to the organisation.</w:t>
      </w:r>
    </w:p>
    <w:p w:rsidR="005D568A" w:rsidRPr="005D568A" w:rsidRDefault="004945D1" w:rsidP="005D568A">
      <w:pPr>
        <w:spacing w:after="200" w:line="276" w:lineRule="auto"/>
        <w:rPr>
          <w:rFonts w:eastAsia="Calibri"/>
        </w:rPr>
      </w:pPr>
      <w:r>
        <w:rPr>
          <w:rFonts w:eastAsia="Calibri"/>
        </w:rPr>
        <w:t>Practices</w:t>
      </w:r>
      <w:r w:rsidR="005D568A" w:rsidRPr="005D568A">
        <w:rPr>
          <w:rFonts w:eastAsia="Calibri"/>
        </w:rPr>
        <w:t xml:space="preserve"> are reminded that they need to update their Privacy Notices (or ‘Fair Processing’ material) to satisfy the General Data Protection Regulation (GDPR) and data protection legislation. The key points to note are that the GDPR strengthens the requirements on organisations as data controllers to provide clear and concise information to patients in order to be fairly and lawfully processing information, being clear about what data is collected and how it is processed. This information should be described accurately and clearly within the organisation’s Privacy Notice along with the identity and contact details of the data controller and made available to patients. Further information and guidance about Privacy Notices under GDPR is available from the Information Commissioner’s Office (ICO) at: </w:t>
      </w:r>
      <w:hyperlink r:id="rId20" w:history="1">
        <w:r w:rsidR="005D568A" w:rsidRPr="005D568A">
          <w:rPr>
            <w:rFonts w:eastAsia="Calibri"/>
            <w:color w:val="0000FF"/>
            <w:u w:val="single"/>
          </w:rPr>
          <w:t>https://ico.org.uk/for-organisations/guide-to-data-protection/privacy-notices-transparency-and-control/privacy-notices-under-the-eu-general-data-protection-regulation/</w:t>
        </w:r>
      </w:hyperlink>
      <w:r w:rsidR="005D568A" w:rsidRPr="005D568A">
        <w:rPr>
          <w:rFonts w:eastAsia="Calibri"/>
        </w:rPr>
        <w:t>.</w:t>
      </w:r>
    </w:p>
    <w:p w:rsidR="005D568A" w:rsidRDefault="005D568A" w:rsidP="0003301B">
      <w:pPr>
        <w:rPr>
          <w:color w:val="002060"/>
        </w:rPr>
      </w:pPr>
    </w:p>
    <w:p w:rsidR="00F03507" w:rsidRDefault="00F03507" w:rsidP="0003301B">
      <w:pPr>
        <w:rPr>
          <w:color w:val="002060"/>
        </w:rPr>
      </w:pPr>
    </w:p>
    <w:p w:rsidR="00F03507" w:rsidRDefault="00F03507" w:rsidP="0003301B">
      <w:pPr>
        <w:rPr>
          <w:color w:val="002060"/>
        </w:rPr>
      </w:pPr>
    </w:p>
    <w:p w:rsidR="00F03507" w:rsidRDefault="00F03507" w:rsidP="0003301B">
      <w:pPr>
        <w:rPr>
          <w:color w:val="002060"/>
        </w:rPr>
      </w:pPr>
    </w:p>
    <w:p w:rsidR="00F03507" w:rsidRDefault="00F03507" w:rsidP="0003301B">
      <w:pPr>
        <w:rPr>
          <w:color w:val="002060"/>
        </w:rPr>
      </w:pPr>
    </w:p>
    <w:p w:rsidR="00F03507" w:rsidRDefault="00F03507" w:rsidP="0003301B">
      <w:pPr>
        <w:rPr>
          <w:color w:val="002060"/>
        </w:rPr>
      </w:pPr>
    </w:p>
    <w:p w:rsidR="00F03507" w:rsidRDefault="00F03507" w:rsidP="0003301B">
      <w:pPr>
        <w:rPr>
          <w:color w:val="002060"/>
        </w:rPr>
      </w:pPr>
    </w:p>
    <w:p w:rsidR="00F03507" w:rsidRDefault="00F03507" w:rsidP="0003301B">
      <w:pPr>
        <w:rPr>
          <w:color w:val="002060"/>
        </w:rPr>
      </w:pPr>
    </w:p>
    <w:p w:rsidR="00F03507" w:rsidRDefault="00F03507" w:rsidP="0003301B">
      <w:pPr>
        <w:rPr>
          <w:color w:val="002060"/>
        </w:rPr>
      </w:pPr>
    </w:p>
    <w:p w:rsidR="00F03507" w:rsidRPr="006828E1" w:rsidRDefault="00F03507" w:rsidP="0091702A">
      <w:pPr>
        <w:keepNext/>
        <w:keepLines/>
        <w:jc w:val="center"/>
        <w:outlineLvl w:val="1"/>
        <w:rPr>
          <w:rFonts w:eastAsiaTheme="majorEastAsia"/>
          <w:b/>
          <w:bCs/>
          <w:sz w:val="32"/>
          <w:szCs w:val="32"/>
        </w:rPr>
      </w:pPr>
      <w:bookmarkStart w:id="10" w:name="_Toc31186749"/>
      <w:r w:rsidRPr="006828E1">
        <w:rPr>
          <w:rFonts w:eastAsiaTheme="majorEastAsia"/>
          <w:b/>
          <w:bCs/>
          <w:sz w:val="32"/>
          <w:szCs w:val="32"/>
        </w:rPr>
        <w:lastRenderedPageBreak/>
        <w:t>Recommended text for transparency statement to be added alongside the organisation’s Privacy Notice.</w:t>
      </w:r>
      <w:bookmarkEnd w:id="10"/>
    </w:p>
    <w:p w:rsidR="00F03507" w:rsidRPr="00F03507" w:rsidRDefault="00F03507" w:rsidP="00F03507">
      <w:pPr>
        <w:spacing w:after="200" w:line="276" w:lineRule="auto"/>
        <w:rPr>
          <w:rFonts w:eastAsia="Calibri"/>
          <w:b/>
        </w:rPr>
      </w:pPr>
      <w:r w:rsidRPr="003A485E">
        <w:rPr>
          <w:rStyle w:val="FootnoteReference"/>
          <w:sz w:val="16"/>
          <w:szCs w:val="16"/>
        </w:rPr>
        <w:footnoteRef/>
      </w:r>
      <w:r w:rsidRPr="003A485E">
        <w:rPr>
          <w:sz w:val="16"/>
          <w:szCs w:val="16"/>
        </w:rPr>
        <w:t xml:space="preserve"> It is recommended that this is included to be clear to patients whether your own organisation is currently compliant with the</w:t>
      </w:r>
      <w:r w:rsidR="00A56DD3">
        <w:rPr>
          <w:sz w:val="16"/>
          <w:szCs w:val="16"/>
        </w:rPr>
        <w:t xml:space="preserve"> policy for applying national data opt-outs”</w:t>
      </w:r>
    </w:p>
    <w:p w:rsidR="00A56DD3" w:rsidRPr="00A56DD3" w:rsidRDefault="00A56DD3" w:rsidP="00A56DD3">
      <w:pPr>
        <w:spacing w:after="200" w:line="276" w:lineRule="auto"/>
        <w:rPr>
          <w:rFonts w:eastAsia="Calibri"/>
          <w:b/>
        </w:rPr>
      </w:pPr>
      <w:r w:rsidRPr="00A56DD3">
        <w:rPr>
          <w:rFonts w:eastAsia="Calibri"/>
          <w:b/>
        </w:rPr>
        <w:t>How the NHS and care services use your information</w:t>
      </w:r>
    </w:p>
    <w:p w:rsidR="00A56DD3" w:rsidRPr="00A56DD3" w:rsidRDefault="00A56DD3" w:rsidP="00A56DD3">
      <w:pPr>
        <w:spacing w:after="200" w:line="276" w:lineRule="auto"/>
        <w:rPr>
          <w:rFonts w:eastAsia="Calibri"/>
        </w:rPr>
      </w:pPr>
      <w:r w:rsidRPr="00A56DD3">
        <w:rPr>
          <w:rFonts w:eastAsia="Calibri"/>
        </w:rPr>
        <w:t xml:space="preserve">[Insert </w:t>
      </w:r>
      <w:r w:rsidR="007E0A4C">
        <w:rPr>
          <w:rFonts w:eastAsia="Calibri"/>
        </w:rPr>
        <w:t>practice</w:t>
      </w:r>
      <w:r w:rsidRPr="00A56DD3">
        <w:rPr>
          <w:rFonts w:eastAsia="Calibri"/>
        </w:rPr>
        <w:t xml:space="preserve">] is one of many </w:t>
      </w:r>
      <w:r w:rsidR="007E0A4C">
        <w:rPr>
          <w:rFonts w:eastAsia="Calibri"/>
        </w:rPr>
        <w:t>practices</w:t>
      </w:r>
      <w:r w:rsidRPr="00A56DD3">
        <w:rPr>
          <w:rFonts w:eastAsia="Calibri"/>
        </w:rPr>
        <w:t xml:space="preserve"> working in the health and care system to improve care for patients and the public)</w:t>
      </w:r>
      <w:r w:rsidRPr="00A56DD3">
        <w:rPr>
          <w:rFonts w:eastAsia="Calibri"/>
          <w:vertAlign w:val="superscript"/>
        </w:rPr>
        <w:footnoteReference w:id="1"/>
      </w:r>
      <w:r w:rsidRPr="00A56DD3">
        <w:rPr>
          <w:rFonts w:eastAsia="Calibri"/>
        </w:rPr>
        <w:t xml:space="preserve">.  </w:t>
      </w:r>
    </w:p>
    <w:p w:rsidR="00A56DD3" w:rsidRPr="00A56DD3" w:rsidRDefault="00A56DD3" w:rsidP="00A56DD3">
      <w:pPr>
        <w:spacing w:after="200" w:line="276" w:lineRule="auto"/>
        <w:rPr>
          <w:rFonts w:eastAsia="Calibri"/>
        </w:rPr>
      </w:pPr>
      <w:r w:rsidRPr="00A56DD3">
        <w:rPr>
          <w:rFonts w:eastAsia="Calibr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A56DD3" w:rsidRPr="00A56DD3" w:rsidRDefault="00A56DD3" w:rsidP="00A56DD3">
      <w:pPr>
        <w:spacing w:line="276" w:lineRule="auto"/>
        <w:rPr>
          <w:rFonts w:eastAsia="Calibri"/>
        </w:rPr>
      </w:pPr>
      <w:r w:rsidRPr="00A56DD3">
        <w:rPr>
          <w:rFonts w:eastAsia="Calibri"/>
        </w:rPr>
        <w:t>The information collected about you when you use these services can also be used and provided to other organisations for purposes beyond your individual care, for instance to help with:</w:t>
      </w:r>
    </w:p>
    <w:p w:rsidR="00A56DD3" w:rsidRPr="00A56DD3" w:rsidRDefault="00A56DD3" w:rsidP="00A56DD3">
      <w:pPr>
        <w:spacing w:line="276" w:lineRule="auto"/>
        <w:rPr>
          <w:rFonts w:eastAsia="Calibri"/>
        </w:rPr>
      </w:pPr>
    </w:p>
    <w:p w:rsidR="00A56DD3" w:rsidRPr="00A56DD3" w:rsidRDefault="00A56DD3" w:rsidP="00A56DD3">
      <w:pPr>
        <w:spacing w:line="276" w:lineRule="auto"/>
        <w:rPr>
          <w:rFonts w:eastAsia="Calibri"/>
        </w:rPr>
      </w:pPr>
      <w:r w:rsidRPr="00A56DD3">
        <w:rPr>
          <w:rFonts w:eastAsia="Calibri"/>
        </w:rPr>
        <w:t>•</w:t>
      </w:r>
      <w:r w:rsidRPr="00A56DD3">
        <w:rPr>
          <w:rFonts w:eastAsia="Calibri"/>
        </w:rPr>
        <w:tab/>
        <w:t>improving the quality and standards of care provided</w:t>
      </w:r>
    </w:p>
    <w:p w:rsidR="00A56DD3" w:rsidRPr="00A56DD3" w:rsidRDefault="00A56DD3" w:rsidP="00A56DD3">
      <w:pPr>
        <w:spacing w:line="276" w:lineRule="auto"/>
        <w:rPr>
          <w:rFonts w:eastAsia="Calibri"/>
        </w:rPr>
      </w:pPr>
      <w:r w:rsidRPr="00A56DD3">
        <w:rPr>
          <w:rFonts w:eastAsia="Calibri"/>
        </w:rPr>
        <w:t>•</w:t>
      </w:r>
      <w:r w:rsidRPr="00A56DD3">
        <w:rPr>
          <w:rFonts w:eastAsia="Calibri"/>
        </w:rPr>
        <w:tab/>
        <w:t xml:space="preserve">research into the development of new treatments </w:t>
      </w:r>
    </w:p>
    <w:p w:rsidR="00A56DD3" w:rsidRPr="00A56DD3" w:rsidRDefault="00A56DD3" w:rsidP="00A56DD3">
      <w:pPr>
        <w:spacing w:line="276" w:lineRule="auto"/>
        <w:rPr>
          <w:rFonts w:eastAsia="Calibri"/>
        </w:rPr>
      </w:pPr>
      <w:r w:rsidRPr="00A56DD3">
        <w:rPr>
          <w:rFonts w:eastAsia="Calibri"/>
        </w:rPr>
        <w:t>•</w:t>
      </w:r>
      <w:r w:rsidRPr="00A56DD3">
        <w:rPr>
          <w:rFonts w:eastAsia="Calibri"/>
        </w:rPr>
        <w:tab/>
        <w:t>preventing illness and diseases</w:t>
      </w:r>
    </w:p>
    <w:p w:rsidR="00A56DD3" w:rsidRPr="00A56DD3" w:rsidRDefault="00A56DD3" w:rsidP="00A56DD3">
      <w:pPr>
        <w:numPr>
          <w:ilvl w:val="0"/>
          <w:numId w:val="10"/>
        </w:numPr>
        <w:spacing w:after="200" w:line="276" w:lineRule="auto"/>
        <w:ind w:hanging="720"/>
        <w:contextualSpacing/>
        <w:rPr>
          <w:rFonts w:eastAsia="Calibri"/>
        </w:rPr>
      </w:pPr>
      <w:r w:rsidRPr="00A56DD3">
        <w:rPr>
          <w:rFonts w:eastAsia="Calibri"/>
        </w:rPr>
        <w:t>monitoring safety</w:t>
      </w:r>
    </w:p>
    <w:p w:rsidR="00A56DD3" w:rsidRPr="00A56DD3" w:rsidRDefault="00A56DD3" w:rsidP="00A56DD3">
      <w:pPr>
        <w:spacing w:line="276" w:lineRule="auto"/>
        <w:rPr>
          <w:rFonts w:eastAsia="Calibri"/>
        </w:rPr>
      </w:pPr>
      <w:r w:rsidRPr="00A56DD3">
        <w:rPr>
          <w:rFonts w:eastAsia="Calibri"/>
        </w:rPr>
        <w:t>•</w:t>
      </w:r>
      <w:r w:rsidRPr="00A56DD3">
        <w:rPr>
          <w:rFonts w:eastAsia="Calibri"/>
        </w:rPr>
        <w:tab/>
        <w:t>planning services</w:t>
      </w:r>
    </w:p>
    <w:p w:rsidR="00A56DD3" w:rsidRPr="00A56DD3" w:rsidRDefault="00A56DD3" w:rsidP="00A56DD3">
      <w:pPr>
        <w:spacing w:line="276" w:lineRule="auto"/>
        <w:rPr>
          <w:rFonts w:eastAsia="Calibri"/>
        </w:rPr>
      </w:pPr>
    </w:p>
    <w:p w:rsidR="00A56DD3" w:rsidRPr="00A56DD3" w:rsidRDefault="00A56DD3" w:rsidP="00A56DD3">
      <w:pPr>
        <w:spacing w:line="276" w:lineRule="auto"/>
        <w:rPr>
          <w:rFonts w:eastAsia="Calibri"/>
        </w:rPr>
      </w:pPr>
      <w:r w:rsidRPr="00A56DD3">
        <w:rPr>
          <w:rFonts w:eastAsia="Calibr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56DD3">
        <w:rPr>
          <w:rFonts w:eastAsia="Calibri"/>
          <w:b/>
        </w:rPr>
        <w:t>only used</w:t>
      </w:r>
      <w:r w:rsidRPr="00A56DD3">
        <w:rPr>
          <w:rFonts w:eastAsia="Calibri"/>
        </w:rPr>
        <w:t xml:space="preserve"> like this where allowed by law. </w:t>
      </w:r>
    </w:p>
    <w:p w:rsidR="00A56DD3" w:rsidRPr="00A56DD3" w:rsidRDefault="00A56DD3" w:rsidP="00A56DD3">
      <w:pPr>
        <w:spacing w:line="276" w:lineRule="auto"/>
        <w:rPr>
          <w:rFonts w:eastAsia="Calibri"/>
        </w:rPr>
      </w:pPr>
    </w:p>
    <w:p w:rsidR="00A56DD3" w:rsidRPr="00A56DD3" w:rsidRDefault="00A56DD3" w:rsidP="00A56DD3">
      <w:pPr>
        <w:spacing w:line="276" w:lineRule="auto"/>
        <w:rPr>
          <w:rFonts w:eastAsia="Calibri"/>
        </w:rPr>
      </w:pPr>
      <w:r w:rsidRPr="00A56DD3">
        <w:rPr>
          <w:rFonts w:eastAsia="Calibri"/>
        </w:rPr>
        <w:t>Most of the time, anonymised data is used for research and planning so that you cannot be identified in which case your confidential patient information isn’t needed.</w:t>
      </w:r>
    </w:p>
    <w:p w:rsidR="00A56DD3" w:rsidRPr="00A56DD3" w:rsidRDefault="00A56DD3" w:rsidP="00A56DD3">
      <w:pPr>
        <w:spacing w:line="276" w:lineRule="auto"/>
        <w:rPr>
          <w:rFonts w:eastAsia="Calibri"/>
        </w:rPr>
      </w:pPr>
    </w:p>
    <w:p w:rsidR="00A56DD3" w:rsidRPr="00A56DD3" w:rsidRDefault="00A56DD3" w:rsidP="00A56DD3">
      <w:pPr>
        <w:spacing w:after="200" w:line="276" w:lineRule="auto"/>
        <w:rPr>
          <w:rFonts w:eastAsia="Calibri"/>
        </w:rPr>
      </w:pPr>
      <w:r w:rsidRPr="00A56DD3">
        <w:rPr>
          <w:rFonts w:eastAsia="Calibr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F03507" w:rsidRDefault="00F03507" w:rsidP="00A56DD3">
      <w:pPr>
        <w:rPr>
          <w:color w:val="002060"/>
        </w:rPr>
      </w:pPr>
    </w:p>
    <w:p w:rsidR="00A56DD3" w:rsidRDefault="00A56DD3" w:rsidP="00A56DD3">
      <w:pPr>
        <w:rPr>
          <w:color w:val="002060"/>
        </w:rPr>
      </w:pPr>
    </w:p>
    <w:p w:rsidR="00A56DD3" w:rsidRPr="00A56DD3" w:rsidRDefault="00A56DD3" w:rsidP="00A56DD3">
      <w:pPr>
        <w:spacing w:after="200" w:line="276" w:lineRule="auto"/>
        <w:rPr>
          <w:rFonts w:eastAsia="Calibri"/>
        </w:rPr>
      </w:pPr>
      <w:r w:rsidRPr="00A56DD3">
        <w:rPr>
          <w:rFonts w:eastAsia="Calibri"/>
        </w:rPr>
        <w:lastRenderedPageBreak/>
        <w:t xml:space="preserve">To find out more or to register your choice to opt out, please visit </w:t>
      </w:r>
      <w:hyperlink r:id="rId21" w:history="1">
        <w:r w:rsidRPr="00A56DD3">
          <w:rPr>
            <w:rFonts w:eastAsia="Calibri"/>
            <w:color w:val="0000FF"/>
            <w:u w:val="single"/>
          </w:rPr>
          <w:t>www.nhs.uk/your-nhs-data-matters</w:t>
        </w:r>
      </w:hyperlink>
      <w:r w:rsidRPr="00A56DD3">
        <w:rPr>
          <w:rFonts w:eastAsia="Calibri"/>
        </w:rPr>
        <w:t>.  On this web page you will:</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See what is meant by confidential patient information</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Find examples of when confidential patient information is used for individual care and examples of when it is used for purposes beyond individual care</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Find out more about the benefits of sharing data</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Understand more about who uses the data</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Find out how your data is protected</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Be able to access the system to view, set or change your opt-out setting</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 xml:space="preserve">Find the contact telephone number if you want to know any more or to set/change your opt-out by phone </w:t>
      </w:r>
    </w:p>
    <w:p w:rsidR="00A56DD3" w:rsidRPr="00A56DD3" w:rsidRDefault="00A56DD3" w:rsidP="00A56DD3">
      <w:pPr>
        <w:numPr>
          <w:ilvl w:val="0"/>
          <w:numId w:val="11"/>
        </w:numPr>
        <w:spacing w:after="200" w:line="276" w:lineRule="auto"/>
        <w:ind w:left="284" w:hanging="284"/>
        <w:contextualSpacing/>
        <w:rPr>
          <w:rFonts w:eastAsia="Calibri"/>
        </w:rPr>
      </w:pPr>
      <w:r w:rsidRPr="00A56DD3">
        <w:rPr>
          <w:rFonts w:eastAsia="Calibri"/>
        </w:rPr>
        <w:t>See the situations where the opt-out will not apply</w:t>
      </w:r>
    </w:p>
    <w:p w:rsidR="00A56DD3" w:rsidRPr="00A56DD3" w:rsidRDefault="00A56DD3" w:rsidP="00A56DD3">
      <w:pPr>
        <w:spacing w:line="276" w:lineRule="auto"/>
        <w:rPr>
          <w:rFonts w:eastAsia="Calibri"/>
        </w:rPr>
      </w:pPr>
    </w:p>
    <w:p w:rsidR="00A56DD3" w:rsidRPr="00A56DD3" w:rsidRDefault="00A56DD3" w:rsidP="00A56DD3">
      <w:pPr>
        <w:spacing w:line="276" w:lineRule="auto"/>
        <w:rPr>
          <w:rFonts w:eastAsia="Calibri"/>
        </w:rPr>
      </w:pPr>
      <w:r w:rsidRPr="00A56DD3">
        <w:rPr>
          <w:rFonts w:eastAsia="Calibri"/>
        </w:rPr>
        <w:t>You can also find out more about how patient information is used at:</w:t>
      </w:r>
    </w:p>
    <w:p w:rsidR="00A56DD3" w:rsidRPr="00A56DD3" w:rsidRDefault="00D00C2D" w:rsidP="00A56DD3">
      <w:pPr>
        <w:spacing w:line="276" w:lineRule="auto"/>
        <w:rPr>
          <w:rFonts w:eastAsia="Calibri"/>
        </w:rPr>
      </w:pPr>
      <w:hyperlink r:id="rId22" w:history="1">
        <w:r w:rsidR="00A56DD3" w:rsidRPr="00A56DD3">
          <w:rPr>
            <w:rFonts w:eastAsia="Calibri"/>
            <w:color w:val="0000FF"/>
            <w:u w:val="single"/>
          </w:rPr>
          <w:t>https://www.hra.nhs.uk/information-about-patients/</w:t>
        </w:r>
      </w:hyperlink>
      <w:r w:rsidR="00A56DD3" w:rsidRPr="00A56DD3">
        <w:rPr>
          <w:rFonts w:eastAsia="Calibri"/>
        </w:rPr>
        <w:t xml:space="preserve"> (which covers health and care research); and</w:t>
      </w:r>
    </w:p>
    <w:p w:rsidR="00A56DD3" w:rsidRPr="00A56DD3" w:rsidRDefault="00D00C2D" w:rsidP="00A56DD3">
      <w:pPr>
        <w:spacing w:line="276" w:lineRule="auto"/>
        <w:rPr>
          <w:rFonts w:eastAsia="Calibri"/>
        </w:rPr>
      </w:pPr>
      <w:hyperlink r:id="rId23" w:history="1">
        <w:r w:rsidR="00A56DD3" w:rsidRPr="00A56DD3">
          <w:rPr>
            <w:rFonts w:eastAsia="Calibri"/>
            <w:color w:val="0000FF"/>
            <w:u w:val="single"/>
          </w:rPr>
          <w:t>https://understandingpatientdata.org.uk/what-you-need-know</w:t>
        </w:r>
      </w:hyperlink>
      <w:r w:rsidR="00A56DD3" w:rsidRPr="00A56DD3">
        <w:rPr>
          <w:rFonts w:eastAsia="Calibri"/>
        </w:rPr>
        <w:t xml:space="preserve"> (which covers how and why patient information is used, the safeguards and how decisions are made)</w:t>
      </w:r>
    </w:p>
    <w:p w:rsidR="00A56DD3" w:rsidRPr="00A56DD3" w:rsidRDefault="00A56DD3" w:rsidP="00A56DD3">
      <w:pPr>
        <w:spacing w:line="276" w:lineRule="auto"/>
        <w:rPr>
          <w:rFonts w:eastAsia="Calibri"/>
        </w:rPr>
      </w:pPr>
    </w:p>
    <w:p w:rsidR="00A56DD3" w:rsidRPr="00A56DD3" w:rsidRDefault="00A56DD3" w:rsidP="00A56DD3">
      <w:pPr>
        <w:spacing w:line="276" w:lineRule="auto"/>
        <w:rPr>
          <w:rFonts w:eastAsia="Calibri"/>
        </w:rPr>
      </w:pPr>
      <w:r w:rsidRPr="00A56DD3">
        <w:rPr>
          <w:rFonts w:eastAsia="Calibri"/>
        </w:rPr>
        <w:t>You can change your mind about your choice at any time.</w:t>
      </w:r>
    </w:p>
    <w:p w:rsidR="00A56DD3" w:rsidRPr="00A56DD3" w:rsidRDefault="00A56DD3" w:rsidP="00A56DD3">
      <w:pPr>
        <w:spacing w:line="276" w:lineRule="auto"/>
        <w:rPr>
          <w:rFonts w:eastAsia="Calibri"/>
        </w:rPr>
      </w:pPr>
    </w:p>
    <w:p w:rsidR="00A56DD3" w:rsidRPr="00A56DD3" w:rsidRDefault="00A56DD3" w:rsidP="00A56DD3">
      <w:pPr>
        <w:spacing w:line="276" w:lineRule="auto"/>
        <w:rPr>
          <w:rFonts w:eastAsia="Calibri"/>
        </w:rPr>
      </w:pPr>
      <w:r w:rsidRPr="00A56DD3">
        <w:rPr>
          <w:rFonts w:eastAsia="Calibri"/>
        </w:rPr>
        <w:t>Data being used or shared for purposes beyond individual care does not include your data being shared with insurance companies or used for marketing purposes and data would only be used in this way with your specific agreement.</w:t>
      </w:r>
    </w:p>
    <w:p w:rsidR="00A56DD3" w:rsidRPr="00A56DD3" w:rsidRDefault="00A56DD3" w:rsidP="00A56DD3">
      <w:pPr>
        <w:spacing w:line="276" w:lineRule="auto"/>
        <w:rPr>
          <w:rFonts w:eastAsia="Calibri"/>
        </w:rPr>
      </w:pPr>
    </w:p>
    <w:p w:rsidR="0091702A" w:rsidRDefault="00A56DD3" w:rsidP="0091702A">
      <w:pPr>
        <w:spacing w:line="276" w:lineRule="auto"/>
        <w:rPr>
          <w:rFonts w:eastAsia="Calibri"/>
        </w:rPr>
      </w:pPr>
      <w:r w:rsidRPr="00A56DD3">
        <w:rPr>
          <w:rFonts w:eastAsia="Calibri"/>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A56DD3">
        <w:rPr>
          <w:rFonts w:eastAsia="Calibri"/>
          <w:vertAlign w:val="superscript"/>
        </w:rPr>
        <w:footnoteReference w:id="2"/>
      </w:r>
      <w:r w:rsidRPr="00A56DD3">
        <w:rPr>
          <w:rFonts w:eastAsia="Calibri"/>
        </w:rPr>
        <w:t xml:space="preserve"> “</w:t>
      </w:r>
      <w:bookmarkStart w:id="11" w:name="_Toc31186750"/>
    </w:p>
    <w:p w:rsidR="006828E1" w:rsidRPr="0091702A" w:rsidRDefault="006828E1" w:rsidP="0091702A">
      <w:pPr>
        <w:spacing w:line="276" w:lineRule="auto"/>
        <w:jc w:val="center"/>
        <w:rPr>
          <w:rFonts w:eastAsia="Calibri"/>
        </w:rPr>
      </w:pPr>
      <w:r w:rsidRPr="006828E1">
        <w:rPr>
          <w:rFonts w:eastAsiaTheme="majorEastAsia"/>
          <w:b/>
          <w:bCs/>
          <w:sz w:val="32"/>
          <w:szCs w:val="32"/>
        </w:rPr>
        <w:lastRenderedPageBreak/>
        <w:t xml:space="preserve">National Data Opt-Out </w:t>
      </w:r>
      <w:r w:rsidR="002920FE" w:rsidRPr="006828E1">
        <w:rPr>
          <w:rFonts w:eastAsiaTheme="majorEastAsia"/>
          <w:b/>
          <w:bCs/>
          <w:sz w:val="32"/>
          <w:szCs w:val="32"/>
        </w:rPr>
        <w:t>Guidance</w:t>
      </w:r>
      <w:bookmarkEnd w:id="11"/>
    </w:p>
    <w:p w:rsidR="006828E1" w:rsidRDefault="006828E1" w:rsidP="002920FE">
      <w:pPr>
        <w:rPr>
          <w:b/>
          <w:sz w:val="28"/>
          <w:szCs w:val="28"/>
        </w:rPr>
      </w:pPr>
    </w:p>
    <w:p w:rsidR="002920FE" w:rsidRPr="002920FE" w:rsidRDefault="006828E1" w:rsidP="002920FE">
      <w:pPr>
        <w:rPr>
          <w:b/>
          <w:sz w:val="28"/>
          <w:szCs w:val="28"/>
        </w:rPr>
      </w:pPr>
      <w:r>
        <w:rPr>
          <w:b/>
          <w:sz w:val="28"/>
          <w:szCs w:val="28"/>
        </w:rPr>
        <w:t>T</w:t>
      </w:r>
      <w:r w:rsidR="002920FE" w:rsidRPr="002920FE">
        <w:rPr>
          <w:b/>
          <w:sz w:val="28"/>
          <w:szCs w:val="28"/>
        </w:rPr>
        <w:t>o prevent use of type 2 opt-out codes and identify if they have been used in error</w:t>
      </w:r>
    </w:p>
    <w:p w:rsidR="00A56DD3" w:rsidRDefault="00A56DD3" w:rsidP="00A56DD3">
      <w:pPr>
        <w:rPr>
          <w:color w:val="002060"/>
        </w:rPr>
      </w:pPr>
    </w:p>
    <w:p w:rsidR="00A77C26" w:rsidRPr="00496682" w:rsidRDefault="00D00C2D" w:rsidP="00A77C26">
      <w:pPr>
        <w:pStyle w:val="NoSpacing"/>
        <w:rPr>
          <w:rFonts w:ascii="Arial" w:hAnsi="Arial" w:cs="Arial"/>
          <w:sz w:val="24"/>
          <w:szCs w:val="24"/>
        </w:rPr>
      </w:pPr>
      <w:hyperlink r:id="rId24" w:history="1">
        <w:r w:rsidR="00A77C26" w:rsidRPr="00496682">
          <w:rPr>
            <w:rStyle w:val="Hyperlink"/>
            <w:rFonts w:ascii="Arial" w:hAnsi="Arial" w:cs="Arial"/>
            <w:sz w:val="24"/>
            <w:szCs w:val="24"/>
          </w:rPr>
          <w:t>https://digital.nhs.uk/services/national-data-opt-out/information-for-gp-practices/prevent-type-2-opt-out-code-use-in-tpp-systmone</w:t>
        </w:r>
      </w:hyperlink>
    </w:p>
    <w:p w:rsidR="00A77C26" w:rsidRPr="00496682" w:rsidRDefault="00A77C26" w:rsidP="00A77C26">
      <w:pPr>
        <w:pStyle w:val="NoSpacing"/>
        <w:rPr>
          <w:rFonts w:ascii="Arial" w:hAnsi="Arial" w:cs="Arial"/>
          <w:sz w:val="24"/>
          <w:szCs w:val="24"/>
        </w:rPr>
      </w:pPr>
    </w:p>
    <w:p w:rsidR="00A77C26" w:rsidRPr="00496682" w:rsidRDefault="00D00C2D" w:rsidP="00A77C26">
      <w:pPr>
        <w:pStyle w:val="NoSpacing"/>
        <w:rPr>
          <w:rFonts w:ascii="Arial" w:hAnsi="Arial" w:cs="Arial"/>
          <w:sz w:val="24"/>
          <w:szCs w:val="24"/>
        </w:rPr>
      </w:pPr>
      <w:hyperlink r:id="rId25" w:history="1">
        <w:r w:rsidR="00A77C26" w:rsidRPr="00496682">
          <w:rPr>
            <w:rStyle w:val="Hyperlink"/>
            <w:rFonts w:ascii="Arial" w:hAnsi="Arial" w:cs="Arial"/>
            <w:sz w:val="24"/>
            <w:szCs w:val="24"/>
          </w:rPr>
          <w:t>https://digital.nhs.uk/services/national-data-opt-out/information-for-gp-practices/prevent-type-2-opt-out-code-use-in-emis-web</w:t>
        </w:r>
      </w:hyperlink>
    </w:p>
    <w:p w:rsidR="00A77C26" w:rsidRPr="00496682" w:rsidRDefault="00A77C26" w:rsidP="00A77C26">
      <w:pPr>
        <w:pStyle w:val="NoSpacing"/>
        <w:rPr>
          <w:rFonts w:ascii="Arial" w:hAnsi="Arial" w:cs="Arial"/>
          <w:sz w:val="24"/>
          <w:szCs w:val="24"/>
        </w:rPr>
      </w:pPr>
    </w:p>
    <w:p w:rsidR="00A77C26" w:rsidRPr="00496682" w:rsidRDefault="00D00C2D" w:rsidP="00A77C26">
      <w:pPr>
        <w:pStyle w:val="NoSpacing"/>
        <w:rPr>
          <w:rFonts w:ascii="Arial" w:hAnsi="Arial" w:cs="Arial"/>
          <w:sz w:val="24"/>
          <w:szCs w:val="24"/>
        </w:rPr>
      </w:pPr>
      <w:hyperlink r:id="rId26" w:history="1">
        <w:r w:rsidR="00A77C26" w:rsidRPr="00496682">
          <w:rPr>
            <w:rStyle w:val="Hyperlink"/>
            <w:rFonts w:ascii="Arial" w:hAnsi="Arial" w:cs="Arial"/>
            <w:sz w:val="24"/>
            <w:szCs w:val="24"/>
          </w:rPr>
          <w:t>https://digital.nhs.uk/services/national-data-opt-out/information-for-gp-practices/prevent-type-2-opt-out-code-use-in-vision</w:t>
        </w:r>
      </w:hyperlink>
    </w:p>
    <w:p w:rsidR="00A77C26" w:rsidRPr="00496682" w:rsidRDefault="00A77C26" w:rsidP="00A77C26">
      <w:pPr>
        <w:pStyle w:val="NoSpacing"/>
        <w:rPr>
          <w:rFonts w:ascii="Arial" w:hAnsi="Arial" w:cs="Arial"/>
          <w:sz w:val="24"/>
          <w:szCs w:val="24"/>
        </w:rPr>
      </w:pPr>
    </w:p>
    <w:p w:rsidR="00A77C26" w:rsidRPr="00496682" w:rsidRDefault="00D00C2D" w:rsidP="00A77C26">
      <w:pPr>
        <w:pStyle w:val="NoSpacing"/>
        <w:rPr>
          <w:rFonts w:ascii="Arial" w:hAnsi="Arial" w:cs="Arial"/>
          <w:sz w:val="24"/>
          <w:szCs w:val="24"/>
        </w:rPr>
      </w:pPr>
      <w:hyperlink r:id="rId27" w:history="1">
        <w:r w:rsidR="00A77C26" w:rsidRPr="00496682">
          <w:rPr>
            <w:rStyle w:val="Hyperlink"/>
            <w:rFonts w:ascii="Arial" w:hAnsi="Arial" w:cs="Arial"/>
            <w:sz w:val="24"/>
            <w:szCs w:val="24"/>
          </w:rPr>
          <w:t>https://digital.nhs.uk/services/national-data-opt-out/information-for-gp-practices/prevent-type-2-opt-out-code-use-in-microtest</w:t>
        </w:r>
      </w:hyperlink>
    </w:p>
    <w:p w:rsidR="00A77C26" w:rsidRDefault="00A77C26" w:rsidP="00A77C26">
      <w:pPr>
        <w:pStyle w:val="NoSpacing"/>
        <w:rPr>
          <w:rFonts w:ascii="Arial" w:hAnsi="Arial" w:cs="Arial"/>
          <w:b/>
          <w:sz w:val="24"/>
          <w:szCs w:val="24"/>
        </w:rPr>
      </w:pPr>
    </w:p>
    <w:p w:rsidR="00A77C26" w:rsidRPr="00AD1F50" w:rsidRDefault="00A77C26" w:rsidP="00A77C26">
      <w:pPr>
        <w:pStyle w:val="NoSpacing"/>
        <w:rPr>
          <w:rFonts w:ascii="Arial" w:hAnsi="Arial" w:cs="Arial"/>
          <w:b/>
          <w:sz w:val="28"/>
          <w:szCs w:val="28"/>
        </w:rPr>
      </w:pPr>
    </w:p>
    <w:p w:rsidR="00A77C26" w:rsidRPr="00AD1F50" w:rsidRDefault="00A77C26" w:rsidP="00A77C26">
      <w:pPr>
        <w:pStyle w:val="NoSpacing"/>
        <w:rPr>
          <w:rFonts w:ascii="Arial" w:hAnsi="Arial" w:cs="Arial"/>
          <w:b/>
          <w:sz w:val="28"/>
          <w:szCs w:val="28"/>
        </w:rPr>
      </w:pPr>
      <w:r w:rsidRPr="00AD1F50">
        <w:rPr>
          <w:rFonts w:ascii="Arial" w:hAnsi="Arial" w:cs="Arial"/>
          <w:b/>
          <w:sz w:val="28"/>
          <w:szCs w:val="28"/>
        </w:rPr>
        <w:t>Patient who previously had a type 2 opt-out</w:t>
      </w:r>
    </w:p>
    <w:p w:rsidR="00A77C26" w:rsidRDefault="00A77C26" w:rsidP="00A77C26">
      <w:pPr>
        <w:pStyle w:val="NoSpacing"/>
        <w:rPr>
          <w:rFonts w:ascii="Arial" w:hAnsi="Arial" w:cs="Arial"/>
          <w:b/>
          <w:sz w:val="24"/>
          <w:szCs w:val="24"/>
        </w:rPr>
      </w:pPr>
    </w:p>
    <w:p w:rsidR="00A77C26" w:rsidRPr="00C610FD" w:rsidRDefault="00A77C26" w:rsidP="00A77C26">
      <w:pPr>
        <w:pStyle w:val="NoSpacing"/>
        <w:rPr>
          <w:rFonts w:ascii="Arial" w:hAnsi="Arial" w:cs="Arial"/>
          <w:sz w:val="24"/>
          <w:szCs w:val="24"/>
        </w:rPr>
      </w:pPr>
      <w:r w:rsidRPr="00C610FD">
        <w:rPr>
          <w:rFonts w:ascii="Arial" w:hAnsi="Arial" w:cs="Arial"/>
          <w:sz w:val="24"/>
          <w:szCs w:val="24"/>
        </w:rPr>
        <w:t>Where a patient had a type 2 opt-out registered on or before 11 October 2018, this was automatically converted to a national data opt-out and if they were aged 13 or over they were sent a</w:t>
      </w:r>
      <w:r w:rsidRPr="00D316F8">
        <w:rPr>
          <w:rFonts w:ascii="Arial" w:hAnsi="Arial" w:cs="Arial"/>
          <w:b/>
          <w:color w:val="0070C0"/>
          <w:sz w:val="24"/>
          <w:szCs w:val="24"/>
        </w:rPr>
        <w:t> </w:t>
      </w:r>
      <w:hyperlink r:id="rId28" w:history="1">
        <w:r w:rsidRPr="00D316F8">
          <w:rPr>
            <w:rStyle w:val="Hyperlink"/>
            <w:rFonts w:ascii="Arial" w:hAnsi="Arial" w:cs="Arial"/>
            <w:b/>
            <w:color w:val="0070C0"/>
            <w:sz w:val="24"/>
            <w:szCs w:val="24"/>
          </w:rPr>
          <w:t>personal letter explaining the change</w:t>
        </w:r>
      </w:hyperlink>
      <w:r w:rsidRPr="00C610FD">
        <w:rPr>
          <w:rFonts w:ascii="Arial" w:hAnsi="Arial" w:cs="Arial"/>
          <w:b/>
          <w:sz w:val="24"/>
          <w:szCs w:val="24"/>
        </w:rPr>
        <w:t> </w:t>
      </w:r>
      <w:r w:rsidRPr="00C610FD">
        <w:rPr>
          <w:rFonts w:ascii="Arial" w:hAnsi="Arial" w:cs="Arial"/>
          <w:sz w:val="24"/>
          <w:szCs w:val="24"/>
        </w:rPr>
        <w:t>and a</w:t>
      </w:r>
      <w:r w:rsidRPr="00C610FD">
        <w:rPr>
          <w:rFonts w:ascii="Arial" w:hAnsi="Arial" w:cs="Arial"/>
          <w:b/>
          <w:sz w:val="24"/>
          <w:szCs w:val="24"/>
        </w:rPr>
        <w:t xml:space="preserve"> </w:t>
      </w:r>
      <w:r w:rsidRPr="00C610FD">
        <w:rPr>
          <w:rFonts w:ascii="Arial" w:hAnsi="Arial" w:cs="Arial"/>
          <w:sz w:val="24"/>
          <w:szCs w:val="24"/>
        </w:rPr>
        <w:t>handout with more information about the national data opt-out.</w:t>
      </w:r>
    </w:p>
    <w:p w:rsidR="00A77C26" w:rsidRDefault="00A77C26" w:rsidP="00A77C26">
      <w:pPr>
        <w:pStyle w:val="NoSpacing"/>
        <w:rPr>
          <w:rFonts w:ascii="Arial" w:hAnsi="Arial" w:cs="Arial"/>
          <w:b/>
          <w:sz w:val="24"/>
          <w:szCs w:val="24"/>
        </w:rPr>
      </w:pPr>
    </w:p>
    <w:p w:rsidR="00A77C26" w:rsidRDefault="00A77C26" w:rsidP="00A77C26">
      <w:pPr>
        <w:pStyle w:val="NoSpacing"/>
        <w:rPr>
          <w:rFonts w:ascii="Arial" w:hAnsi="Arial" w:cs="Arial"/>
          <w:b/>
          <w:sz w:val="24"/>
          <w:szCs w:val="24"/>
        </w:rPr>
      </w:pPr>
      <w:r w:rsidRPr="00C610FD">
        <w:rPr>
          <w:rFonts w:ascii="Arial" w:hAnsi="Arial" w:cs="Arial"/>
          <w:sz w:val="24"/>
          <w:szCs w:val="24"/>
        </w:rPr>
        <w:t>Patients can be reassured that their choices will continue to be respected. If they want to change their choice, they can use the</w:t>
      </w:r>
      <w:r w:rsidRPr="00C610FD">
        <w:rPr>
          <w:rFonts w:ascii="Arial" w:hAnsi="Arial" w:cs="Arial"/>
          <w:b/>
          <w:sz w:val="24"/>
          <w:szCs w:val="24"/>
        </w:rPr>
        <w:t> </w:t>
      </w:r>
      <w:hyperlink r:id="rId29" w:history="1">
        <w:r w:rsidRPr="00D316F8">
          <w:rPr>
            <w:rStyle w:val="Hyperlink"/>
            <w:rFonts w:ascii="Arial" w:hAnsi="Arial" w:cs="Arial"/>
            <w:b/>
            <w:color w:val="0070C0"/>
            <w:sz w:val="24"/>
            <w:szCs w:val="24"/>
          </w:rPr>
          <w:t>national data opt-out service</w:t>
        </w:r>
      </w:hyperlink>
      <w:r w:rsidRPr="00C610FD">
        <w:rPr>
          <w:rFonts w:ascii="Arial" w:hAnsi="Arial" w:cs="Arial"/>
          <w:b/>
          <w:sz w:val="24"/>
          <w:szCs w:val="24"/>
        </w:rPr>
        <w:t> </w:t>
      </w:r>
      <w:r w:rsidRPr="00C610FD">
        <w:rPr>
          <w:rFonts w:ascii="Arial" w:hAnsi="Arial" w:cs="Arial"/>
          <w:sz w:val="24"/>
          <w:szCs w:val="24"/>
        </w:rPr>
        <w:t>to do this.</w:t>
      </w:r>
    </w:p>
    <w:p w:rsidR="00A77C26" w:rsidRDefault="00A77C26" w:rsidP="00A77C26">
      <w:pPr>
        <w:pStyle w:val="NoSpacing"/>
        <w:rPr>
          <w:rFonts w:ascii="Arial" w:hAnsi="Arial" w:cs="Arial"/>
          <w:b/>
          <w:sz w:val="24"/>
          <w:szCs w:val="24"/>
        </w:rPr>
      </w:pPr>
    </w:p>
    <w:p w:rsidR="00A77C26" w:rsidRPr="00AD1F50" w:rsidRDefault="00A77C26" w:rsidP="00A77C26">
      <w:pPr>
        <w:pStyle w:val="NoSpacing"/>
        <w:rPr>
          <w:rFonts w:ascii="Arial" w:hAnsi="Arial" w:cs="Arial"/>
          <w:b/>
          <w:sz w:val="28"/>
          <w:szCs w:val="28"/>
        </w:rPr>
      </w:pPr>
      <w:r w:rsidRPr="00AD1F50">
        <w:rPr>
          <w:rFonts w:ascii="Arial" w:hAnsi="Arial" w:cs="Arial"/>
          <w:b/>
          <w:sz w:val="28"/>
          <w:szCs w:val="28"/>
        </w:rPr>
        <w:t>Patients who have a type 1 opt-out</w:t>
      </w:r>
    </w:p>
    <w:p w:rsidR="00A77C26" w:rsidRDefault="00A77C26" w:rsidP="00A77C26">
      <w:pPr>
        <w:pStyle w:val="NoSpacing"/>
        <w:rPr>
          <w:rFonts w:ascii="Arial" w:hAnsi="Arial" w:cs="Arial"/>
          <w:b/>
          <w:sz w:val="24"/>
          <w:szCs w:val="24"/>
        </w:rPr>
      </w:pPr>
    </w:p>
    <w:p w:rsidR="00A77C26" w:rsidRPr="00402BA3" w:rsidRDefault="00A77C26" w:rsidP="00A77C26">
      <w:pPr>
        <w:pStyle w:val="NoSpacing"/>
        <w:rPr>
          <w:rFonts w:ascii="Arial" w:hAnsi="Arial" w:cs="Arial"/>
          <w:sz w:val="24"/>
          <w:szCs w:val="24"/>
        </w:rPr>
      </w:pPr>
      <w:r w:rsidRPr="00402BA3">
        <w:rPr>
          <w:rFonts w:ascii="Arial" w:hAnsi="Arial" w:cs="Arial"/>
          <w:sz w:val="24"/>
          <w:szCs w:val="24"/>
        </w:rPr>
        <w:t>Some patients will have a type 1 opt-out registered with their GP practice, which indicates they do not want their confidential patient information leaving the practice for research and planning purposes. These existing type 1 opt-outs will continue to be respected until 2020, when the Department of Health and Social Care will consult with the National Data Guardian on their removal.</w:t>
      </w:r>
    </w:p>
    <w:p w:rsidR="00A77C26" w:rsidRDefault="00A77C26" w:rsidP="00A77C26">
      <w:pPr>
        <w:pStyle w:val="NoSpacing"/>
        <w:rPr>
          <w:rFonts w:ascii="Arial" w:hAnsi="Arial" w:cs="Arial"/>
          <w:b/>
          <w:sz w:val="24"/>
          <w:szCs w:val="24"/>
        </w:rPr>
      </w:pPr>
    </w:p>
    <w:p w:rsidR="00A77C26" w:rsidRPr="00AD1F50" w:rsidRDefault="00A77C26" w:rsidP="00A77C26">
      <w:pPr>
        <w:pStyle w:val="NoSpacing"/>
        <w:rPr>
          <w:rFonts w:ascii="Arial" w:hAnsi="Arial" w:cs="Arial"/>
          <w:b/>
          <w:sz w:val="28"/>
          <w:szCs w:val="28"/>
        </w:rPr>
      </w:pPr>
      <w:r w:rsidRPr="00AD1F50">
        <w:rPr>
          <w:rFonts w:ascii="Arial" w:hAnsi="Arial" w:cs="Arial"/>
          <w:b/>
          <w:sz w:val="28"/>
          <w:szCs w:val="28"/>
        </w:rPr>
        <w:t>National data opt-out operational guidance document</w:t>
      </w:r>
    </w:p>
    <w:p w:rsidR="00A77C26" w:rsidRDefault="00A77C26" w:rsidP="00A77C26">
      <w:pPr>
        <w:pStyle w:val="NoSpacing"/>
        <w:rPr>
          <w:rFonts w:ascii="Arial" w:hAnsi="Arial" w:cs="Arial"/>
          <w:sz w:val="24"/>
          <w:szCs w:val="24"/>
        </w:rPr>
      </w:pPr>
    </w:p>
    <w:p w:rsidR="00A77C26" w:rsidRPr="00AD1F50" w:rsidRDefault="00D00C2D" w:rsidP="00A77C26">
      <w:pPr>
        <w:pStyle w:val="NoSpacing"/>
        <w:rPr>
          <w:rFonts w:ascii="Arial" w:hAnsi="Arial" w:cs="Arial"/>
          <w:color w:val="0070C0"/>
          <w:sz w:val="24"/>
          <w:szCs w:val="24"/>
        </w:rPr>
      </w:pPr>
      <w:hyperlink r:id="rId30" w:history="1">
        <w:r w:rsidR="00A77C26" w:rsidRPr="00AD1F50">
          <w:rPr>
            <w:rStyle w:val="Hyperlink"/>
            <w:rFonts w:ascii="Arial" w:hAnsi="Arial" w:cs="Arial"/>
            <w:color w:val="0070C0"/>
            <w:sz w:val="24"/>
            <w:szCs w:val="24"/>
          </w:rPr>
          <w:t>https://digital.nhs.uk/services/national-data-opt-out/operational-policy-guidance-document</w:t>
        </w:r>
      </w:hyperlink>
    </w:p>
    <w:p w:rsidR="002920FE" w:rsidRDefault="002920FE" w:rsidP="00A56DD3">
      <w:pPr>
        <w:rPr>
          <w:color w:val="002060"/>
        </w:rPr>
      </w:pPr>
    </w:p>
    <w:p w:rsidR="00A77C26" w:rsidRPr="00AD1F50" w:rsidRDefault="00A77C26" w:rsidP="00A77C26">
      <w:pPr>
        <w:pStyle w:val="NoSpacing"/>
        <w:rPr>
          <w:rFonts w:ascii="Arial" w:hAnsi="Arial" w:cs="Arial"/>
          <w:b/>
          <w:sz w:val="28"/>
          <w:szCs w:val="28"/>
        </w:rPr>
      </w:pPr>
      <w:r w:rsidRPr="00AD1F50">
        <w:rPr>
          <w:rFonts w:ascii="Arial" w:hAnsi="Arial" w:cs="Arial"/>
          <w:b/>
          <w:sz w:val="28"/>
          <w:szCs w:val="28"/>
        </w:rPr>
        <w:t>Compliant with the national data opt-out policy</w:t>
      </w:r>
    </w:p>
    <w:p w:rsidR="00A77C26" w:rsidRDefault="00A77C26" w:rsidP="00A77C26">
      <w:pPr>
        <w:pStyle w:val="NoSpacing"/>
        <w:rPr>
          <w:rFonts w:ascii="Arial" w:hAnsi="Arial" w:cs="Arial"/>
          <w:sz w:val="24"/>
          <w:szCs w:val="24"/>
        </w:rPr>
      </w:pPr>
    </w:p>
    <w:p w:rsidR="00A77C26" w:rsidRPr="00AD1F50" w:rsidRDefault="00D00C2D" w:rsidP="00A77C26">
      <w:pPr>
        <w:pStyle w:val="NoSpacing"/>
        <w:rPr>
          <w:rFonts w:ascii="Arial" w:hAnsi="Arial" w:cs="Arial"/>
          <w:color w:val="0070C0"/>
          <w:sz w:val="24"/>
          <w:szCs w:val="24"/>
        </w:rPr>
      </w:pPr>
      <w:hyperlink r:id="rId31" w:history="1">
        <w:r w:rsidR="00A77C26" w:rsidRPr="00AD1F50">
          <w:rPr>
            <w:rFonts w:ascii="Arial" w:hAnsi="Arial" w:cs="Arial"/>
            <w:color w:val="0070C0"/>
            <w:sz w:val="24"/>
            <w:szCs w:val="24"/>
            <w:u w:val="single"/>
          </w:rPr>
          <w:t>https://digital.nhs.uk/services/national-data-opt-out/compliance-with-the-national-data-opt-out</w:t>
        </w:r>
      </w:hyperlink>
    </w:p>
    <w:p w:rsidR="00A77C26" w:rsidRPr="00AD1F50" w:rsidRDefault="00A77C26" w:rsidP="00A77C26">
      <w:pPr>
        <w:pStyle w:val="NoSpacing"/>
        <w:rPr>
          <w:rFonts w:ascii="Arial" w:hAnsi="Arial" w:cs="Arial"/>
          <w:sz w:val="28"/>
          <w:szCs w:val="28"/>
        </w:rPr>
      </w:pPr>
    </w:p>
    <w:p w:rsidR="00A77C26" w:rsidRPr="00AD1F50" w:rsidRDefault="00A77C26" w:rsidP="00A77C26">
      <w:pPr>
        <w:pStyle w:val="NoSpacing"/>
        <w:rPr>
          <w:rFonts w:ascii="Arial" w:hAnsi="Arial" w:cs="Arial"/>
          <w:b/>
          <w:sz w:val="28"/>
          <w:szCs w:val="28"/>
        </w:rPr>
      </w:pPr>
      <w:r w:rsidRPr="00AD1F50">
        <w:rPr>
          <w:rFonts w:ascii="Arial" w:hAnsi="Arial" w:cs="Arial"/>
          <w:b/>
          <w:sz w:val="28"/>
          <w:szCs w:val="28"/>
        </w:rPr>
        <w:t>National data opt-out: compliance implementation guide</w:t>
      </w:r>
    </w:p>
    <w:p w:rsidR="00A77C26" w:rsidRPr="00A4540F" w:rsidRDefault="00A77C26" w:rsidP="00A77C26">
      <w:pPr>
        <w:pStyle w:val="NoSpacing"/>
        <w:rPr>
          <w:rFonts w:ascii="Arial" w:hAnsi="Arial" w:cs="Arial"/>
          <w:sz w:val="24"/>
          <w:szCs w:val="24"/>
        </w:rPr>
      </w:pPr>
    </w:p>
    <w:p w:rsidR="00A77C26" w:rsidRPr="00AD1F50" w:rsidRDefault="00D00C2D" w:rsidP="00A77C26">
      <w:pPr>
        <w:pStyle w:val="NoSpacing"/>
        <w:rPr>
          <w:rFonts w:ascii="Arial" w:hAnsi="Arial" w:cs="Arial"/>
          <w:color w:val="0070C0"/>
          <w:sz w:val="24"/>
          <w:szCs w:val="24"/>
        </w:rPr>
      </w:pPr>
      <w:hyperlink r:id="rId32" w:history="1">
        <w:r w:rsidR="00A77C26" w:rsidRPr="00AD1F50">
          <w:rPr>
            <w:rStyle w:val="Hyperlink"/>
            <w:rFonts w:ascii="Arial" w:hAnsi="Arial" w:cs="Arial"/>
            <w:color w:val="0070C0"/>
            <w:sz w:val="24"/>
            <w:szCs w:val="24"/>
          </w:rPr>
          <w:t>https://digital.nhs.uk/services/national-data-opt-out/compliance-with-the-national-data-opt-out/compliance-implementation-guide</w:t>
        </w:r>
      </w:hyperlink>
    </w:p>
    <w:p w:rsidR="00A77C26" w:rsidRPr="00AD1F50" w:rsidRDefault="00A77C26" w:rsidP="00A77C26">
      <w:pPr>
        <w:pStyle w:val="NoSpacing"/>
        <w:rPr>
          <w:rFonts w:ascii="Arial" w:hAnsi="Arial" w:cs="Arial"/>
          <w:sz w:val="28"/>
          <w:szCs w:val="28"/>
        </w:rPr>
      </w:pPr>
    </w:p>
    <w:p w:rsidR="00A77C26" w:rsidRPr="00AD1F50" w:rsidRDefault="00A77C26" w:rsidP="00A77C26">
      <w:pPr>
        <w:pStyle w:val="NoSpacing"/>
        <w:rPr>
          <w:rFonts w:ascii="Arial" w:hAnsi="Arial" w:cs="Arial"/>
          <w:b/>
          <w:sz w:val="28"/>
          <w:szCs w:val="28"/>
        </w:rPr>
      </w:pPr>
      <w:r w:rsidRPr="00AD1F50">
        <w:rPr>
          <w:rFonts w:ascii="Arial" w:hAnsi="Arial" w:cs="Arial"/>
          <w:b/>
          <w:sz w:val="28"/>
          <w:szCs w:val="28"/>
        </w:rPr>
        <w:t>Supporting your patients – resources and guidance</w:t>
      </w:r>
    </w:p>
    <w:p w:rsidR="00A77C26" w:rsidRDefault="00A77C26" w:rsidP="00A77C26"/>
    <w:p w:rsidR="00A77C26" w:rsidRPr="00AD1F50" w:rsidRDefault="00D00C2D" w:rsidP="00A77C26">
      <w:pPr>
        <w:rPr>
          <w:color w:val="0070C0"/>
        </w:rPr>
      </w:pPr>
      <w:hyperlink r:id="rId33" w:history="1">
        <w:r w:rsidR="00A77C26" w:rsidRPr="00AD1F50">
          <w:rPr>
            <w:rStyle w:val="Hyperlink"/>
            <w:color w:val="0070C0"/>
          </w:rPr>
          <w:t>https://digital.nhs.uk/services/national-data-opt-out/information-for-gp-practices</w:t>
        </w:r>
      </w:hyperlink>
    </w:p>
    <w:p w:rsidR="00A77C26" w:rsidRDefault="00A77C26" w:rsidP="00A77C26"/>
    <w:p w:rsidR="00A77C26" w:rsidRDefault="00A77C26" w:rsidP="00A77C26"/>
    <w:p w:rsidR="00A77C26" w:rsidRDefault="00A77C26" w:rsidP="00A77C26">
      <w:r w:rsidRPr="00EF6EC7">
        <w:t xml:space="preserve">Practices should make sure staff are aware of the national data opt-out so they can support </w:t>
      </w:r>
      <w:r w:rsidR="004945D1">
        <w:t>your</w:t>
      </w:r>
      <w:r w:rsidRPr="00EF6EC7">
        <w:t xml:space="preserve"> patients.</w:t>
      </w:r>
    </w:p>
    <w:p w:rsidR="00A77C26" w:rsidRDefault="00A77C26" w:rsidP="00A77C26"/>
    <w:p w:rsidR="00A77C26" w:rsidRDefault="00A77C26" w:rsidP="00A77C26">
      <w:r w:rsidRPr="00EF6EC7">
        <w:t>The </w:t>
      </w:r>
      <w:hyperlink r:id="rId34" w:history="1">
        <w:r w:rsidRPr="00AD1F50">
          <w:rPr>
            <w:rStyle w:val="Hyperlink"/>
            <w:color w:val="0070C0"/>
          </w:rPr>
          <w:t>Royal College of General Practitioners</w:t>
        </w:r>
      </w:hyperlink>
      <w:r w:rsidRPr="00AD1F50">
        <w:rPr>
          <w:color w:val="0070C0"/>
        </w:rPr>
        <w:t> </w:t>
      </w:r>
      <w:r w:rsidRPr="00EF6EC7">
        <w:t>has published a </w:t>
      </w:r>
      <w:hyperlink r:id="rId35" w:history="1">
        <w:r w:rsidRPr="00AD1F50">
          <w:rPr>
            <w:rStyle w:val="Hyperlink"/>
            <w:color w:val="0070C0"/>
          </w:rPr>
          <w:t xml:space="preserve">Patient Data Choices </w:t>
        </w:r>
        <w:r w:rsidRPr="00EF6EC7">
          <w:rPr>
            <w:rStyle w:val="Hyperlink"/>
          </w:rPr>
          <w:t>toolkit</w:t>
        </w:r>
      </w:hyperlink>
      <w:r w:rsidRPr="00EF6EC7">
        <w:t> for GPs and practice staff, and training materials in their </w:t>
      </w:r>
      <w:hyperlink r:id="rId36" w:history="1">
        <w:r w:rsidRPr="00AD1F50">
          <w:rPr>
            <w:rStyle w:val="Hyperlink"/>
            <w:color w:val="0070C0"/>
          </w:rPr>
          <w:t>RCGP e-learning module</w:t>
        </w:r>
      </w:hyperlink>
      <w:r w:rsidRPr="00AD1F50">
        <w:rPr>
          <w:color w:val="0070C0"/>
        </w:rPr>
        <w:t>.</w:t>
      </w:r>
    </w:p>
    <w:p w:rsidR="00A77C26" w:rsidRDefault="00A77C26" w:rsidP="00A77C26"/>
    <w:p w:rsidR="00A77C26" w:rsidRPr="00EF6EC7" w:rsidRDefault="00D00C2D" w:rsidP="00A77C26">
      <w:hyperlink r:id="rId37" w:history="1">
        <w:r w:rsidR="00A77C26" w:rsidRPr="00AD1F50">
          <w:rPr>
            <w:rStyle w:val="Hyperlink"/>
            <w:color w:val="0070C0"/>
          </w:rPr>
          <w:t>Resources</w:t>
        </w:r>
      </w:hyperlink>
      <w:r w:rsidR="00A77C26" w:rsidRPr="00EF6EC7">
        <w:t> are available for practice staff to share with patients if they have any questions. When patients ask about opting out:</w:t>
      </w:r>
    </w:p>
    <w:p w:rsidR="00A77C26" w:rsidRPr="00EF6EC7" w:rsidRDefault="00A77C26" w:rsidP="00A77C26">
      <w:pPr>
        <w:numPr>
          <w:ilvl w:val="0"/>
          <w:numId w:val="12"/>
        </w:numPr>
      </w:pPr>
      <w:r w:rsidRPr="00EF6EC7">
        <w:t xml:space="preserve">refer them to the website </w:t>
      </w:r>
      <w:r w:rsidRPr="00AD1F50">
        <w:rPr>
          <w:u w:val="single"/>
        </w:rPr>
        <w:t>nhs.uk/your-nhs-data-matters</w:t>
      </w:r>
    </w:p>
    <w:p w:rsidR="00A77C26" w:rsidRPr="00EF6EC7" w:rsidRDefault="00A77C26" w:rsidP="00A77C26">
      <w:pPr>
        <w:numPr>
          <w:ilvl w:val="0"/>
          <w:numId w:val="12"/>
        </w:numPr>
      </w:pPr>
      <w:r w:rsidRPr="00EF6EC7">
        <w:t>it's helpful to make sure they know their NHS number</w:t>
      </w:r>
    </w:p>
    <w:p w:rsidR="00A77C26" w:rsidRPr="00EF6EC7" w:rsidRDefault="00A77C26" w:rsidP="00A77C26">
      <w:pPr>
        <w:numPr>
          <w:ilvl w:val="0"/>
          <w:numId w:val="12"/>
        </w:numPr>
      </w:pPr>
      <w:r w:rsidRPr="00EF6EC7">
        <w:t>ensure they have an up-to-date email address or mobile phone number in their GP practice record, as this will be used to verify their identity when they use the service</w:t>
      </w:r>
    </w:p>
    <w:p w:rsidR="00A77C26" w:rsidRDefault="00A77C26" w:rsidP="00A77C26"/>
    <w:p w:rsidR="00A77C26" w:rsidRPr="00A56DD3" w:rsidRDefault="00A77C26" w:rsidP="00A56DD3">
      <w:pPr>
        <w:rPr>
          <w:color w:val="002060"/>
        </w:rPr>
      </w:pPr>
    </w:p>
    <w:sectPr w:rsidR="00A77C26" w:rsidRPr="00A56DD3" w:rsidSect="00A436EE">
      <w:headerReference w:type="default" r:id="rId38"/>
      <w:footerReference w:type="default" r:id="rId39"/>
      <w:pgSz w:w="11906" w:h="16838"/>
      <w:pgMar w:top="1440" w:right="1440" w:bottom="1440" w:left="1440" w:header="708" w:footer="708"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69" w:rsidRDefault="00883369" w:rsidP="00F03507">
      <w:r>
        <w:separator/>
      </w:r>
    </w:p>
  </w:endnote>
  <w:endnote w:type="continuationSeparator" w:id="0">
    <w:p w:rsidR="00883369" w:rsidRDefault="00883369" w:rsidP="00F0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E" w:rsidRDefault="00A436EE">
    <w:pPr>
      <w:pStyle w:val="Footer"/>
    </w:pPr>
    <w:r>
      <w:fldChar w:fldCharType="begin"/>
    </w:r>
    <w:r>
      <w:instrText xml:space="preserve"> PAGE   \* MERGEFORMAT </w:instrText>
    </w:r>
    <w:r>
      <w:fldChar w:fldCharType="separate"/>
    </w:r>
    <w:r w:rsidR="00D00C2D">
      <w:rPr>
        <w:noProof/>
      </w:rPr>
      <w:t>1</w:t>
    </w:r>
    <w:r>
      <w:rPr>
        <w:noProof/>
      </w:rPr>
      <w:fldChar w:fldCharType="end"/>
    </w:r>
  </w:p>
  <w:p w:rsidR="00A436EE" w:rsidRDefault="00A43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69" w:rsidRDefault="00883369" w:rsidP="00F03507">
      <w:r>
        <w:separator/>
      </w:r>
    </w:p>
  </w:footnote>
  <w:footnote w:type="continuationSeparator" w:id="0">
    <w:p w:rsidR="00883369" w:rsidRDefault="00883369" w:rsidP="00F03507">
      <w:r>
        <w:continuationSeparator/>
      </w:r>
    </w:p>
  </w:footnote>
  <w:footnote w:id="1">
    <w:p w:rsidR="00A56DD3" w:rsidRDefault="00A56DD3" w:rsidP="00A56DD3">
      <w:pPr>
        <w:pStyle w:val="FootnoteText"/>
      </w:pPr>
      <w:r>
        <w:rPr>
          <w:rStyle w:val="FootnoteReference"/>
        </w:rPr>
        <w:footnoteRef/>
      </w:r>
      <w:r>
        <w:t xml:space="preserve"> This paragraph to be inserted by national organisations such as ALBs</w:t>
      </w:r>
    </w:p>
  </w:footnote>
  <w:footnote w:id="2">
    <w:p w:rsidR="00A56DD3" w:rsidRDefault="00A56DD3"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p w:rsidR="002920FE" w:rsidRDefault="002920FE" w:rsidP="00A56DD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2A" w:rsidRPr="00586B68" w:rsidRDefault="0091702A" w:rsidP="0091702A">
    <w:pPr>
      <w:pStyle w:val="Default"/>
      <w:rPr>
        <w:rStyle w:val="IntenseEmphasis"/>
      </w:rPr>
    </w:pPr>
  </w:p>
  <w:p w:rsidR="0091702A" w:rsidRPr="00586B68" w:rsidRDefault="0091702A" w:rsidP="0091702A">
    <w:pPr>
      <w:pStyle w:val="Default"/>
      <w:rPr>
        <w:rStyle w:val="IntenseEmphasis"/>
      </w:rPr>
    </w:pPr>
    <w:r w:rsidRPr="00586B68">
      <w:rPr>
        <w:rStyle w:val="IntenseEmphasis"/>
      </w:rPr>
      <w:t xml:space="preserve"> </w:t>
    </w:r>
  </w:p>
  <w:p w:rsidR="0091702A" w:rsidRPr="00586B68" w:rsidRDefault="0091702A" w:rsidP="0091702A">
    <w:pPr>
      <w:widowControl w:val="0"/>
      <w:spacing w:after="60"/>
      <w:rPr>
        <w:rStyle w:val="IntenseEmphasis"/>
      </w:rPr>
    </w:pPr>
    <w:r w:rsidRPr="00586B68">
      <w:rPr>
        <w:rStyle w:val="IntenseEmphasis"/>
      </w:rPr>
      <w:t>GP Information Governance Support Service</w:t>
    </w:r>
  </w:p>
  <w:p w:rsidR="0091702A" w:rsidRPr="00586B68" w:rsidRDefault="0091702A" w:rsidP="0091702A">
    <w:pPr>
      <w:widowControl w:val="0"/>
      <w:spacing w:after="60"/>
      <w:rPr>
        <w:rStyle w:val="IntenseEmphasis"/>
        <w:lang w:eastAsia="en-GB"/>
      </w:rPr>
    </w:pPr>
    <w:r w:rsidRPr="00586B68">
      <w:rPr>
        <w:rStyle w:val="IntenseEmphasis"/>
      </w:rPr>
      <w:t>Working for all Essex CCG’s hosted by Basildon &amp; Brentwood CCG</w:t>
    </w:r>
  </w:p>
  <w:p w:rsidR="0091702A" w:rsidRDefault="0091702A">
    <w:pPr>
      <w:pStyle w:val="Header"/>
    </w:pPr>
  </w:p>
  <w:p w:rsidR="0091702A" w:rsidRDefault="009170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BCA"/>
    <w:multiLevelType w:val="multilevel"/>
    <w:tmpl w:val="8054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C159D"/>
    <w:multiLevelType w:val="hybridMultilevel"/>
    <w:tmpl w:val="A7BA1578"/>
    <w:lvl w:ilvl="0" w:tplc="21E24E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14B38"/>
    <w:multiLevelType w:val="multilevel"/>
    <w:tmpl w:val="B9A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92B9B"/>
    <w:multiLevelType w:val="hybridMultilevel"/>
    <w:tmpl w:val="FF760D04"/>
    <w:lvl w:ilvl="0" w:tplc="90DE06CA">
      <w:start w:val="1"/>
      <w:numFmt w:val="bullet"/>
      <w:lvlText w:val=""/>
      <w:lvlJc w:val="left"/>
      <w:pPr>
        <w:ind w:left="780" w:hanging="360"/>
      </w:pPr>
      <w:rPr>
        <w:rFonts w:ascii="Wingdings" w:hAnsi="Wingdings" w:hint="default"/>
        <w:sz w:val="72"/>
        <w:szCs w:val="7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C4233A5"/>
    <w:multiLevelType w:val="multilevel"/>
    <w:tmpl w:val="0964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997874"/>
    <w:multiLevelType w:val="hybridMultilevel"/>
    <w:tmpl w:val="ACC0EF9A"/>
    <w:lvl w:ilvl="0" w:tplc="90DE06CA">
      <w:start w:val="1"/>
      <w:numFmt w:val="bullet"/>
      <w:lvlText w:val=""/>
      <w:lvlJc w:val="left"/>
      <w:pPr>
        <w:ind w:left="720" w:hanging="360"/>
      </w:pPr>
      <w:rPr>
        <w:rFonts w:ascii="Wingdings" w:hAnsi="Wingdings" w:hint="default"/>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406760"/>
    <w:multiLevelType w:val="multilevel"/>
    <w:tmpl w:val="4A8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184FA0"/>
    <w:multiLevelType w:val="hybridMultilevel"/>
    <w:tmpl w:val="03A63516"/>
    <w:lvl w:ilvl="0" w:tplc="315273F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3A1EFB"/>
    <w:multiLevelType w:val="hybridMultilevel"/>
    <w:tmpl w:val="7BC2208E"/>
    <w:lvl w:ilvl="0" w:tplc="21E24E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D55DC4"/>
    <w:multiLevelType w:val="multilevel"/>
    <w:tmpl w:val="063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3"/>
  </w:num>
  <w:num w:numId="5">
    <w:abstractNumId w:val="0"/>
  </w:num>
  <w:num w:numId="6">
    <w:abstractNumId w:val="11"/>
  </w:num>
  <w:num w:numId="7">
    <w:abstractNumId w:val="9"/>
  </w:num>
  <w:num w:numId="8">
    <w:abstractNumId w:val="4"/>
  </w:num>
  <w:num w:numId="9">
    <w:abstractNumId w:val="7"/>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EA"/>
    <w:rsid w:val="0001424C"/>
    <w:rsid w:val="00017490"/>
    <w:rsid w:val="0003301B"/>
    <w:rsid w:val="00060353"/>
    <w:rsid w:val="000814E8"/>
    <w:rsid w:val="000F3372"/>
    <w:rsid w:val="00133979"/>
    <w:rsid w:val="001C64AD"/>
    <w:rsid w:val="00214BEA"/>
    <w:rsid w:val="002803D3"/>
    <w:rsid w:val="00280B32"/>
    <w:rsid w:val="002920FE"/>
    <w:rsid w:val="002C2065"/>
    <w:rsid w:val="002C3A69"/>
    <w:rsid w:val="002D23F5"/>
    <w:rsid w:val="003075E6"/>
    <w:rsid w:val="00317428"/>
    <w:rsid w:val="00381A32"/>
    <w:rsid w:val="003D01ED"/>
    <w:rsid w:val="00417186"/>
    <w:rsid w:val="0042112A"/>
    <w:rsid w:val="00423B4E"/>
    <w:rsid w:val="00423D99"/>
    <w:rsid w:val="00430968"/>
    <w:rsid w:val="00463A55"/>
    <w:rsid w:val="00464695"/>
    <w:rsid w:val="004862AA"/>
    <w:rsid w:val="004945D1"/>
    <w:rsid w:val="004D6C68"/>
    <w:rsid w:val="005516C9"/>
    <w:rsid w:val="00586B68"/>
    <w:rsid w:val="005C3C76"/>
    <w:rsid w:val="005D568A"/>
    <w:rsid w:val="006102DD"/>
    <w:rsid w:val="00626A41"/>
    <w:rsid w:val="00626C41"/>
    <w:rsid w:val="006828E1"/>
    <w:rsid w:val="006A24C2"/>
    <w:rsid w:val="006C015B"/>
    <w:rsid w:val="007E0A4C"/>
    <w:rsid w:val="007F556B"/>
    <w:rsid w:val="008421EE"/>
    <w:rsid w:val="00883369"/>
    <w:rsid w:val="008B1250"/>
    <w:rsid w:val="008B17DE"/>
    <w:rsid w:val="008B51D0"/>
    <w:rsid w:val="0091702A"/>
    <w:rsid w:val="00960FC9"/>
    <w:rsid w:val="00976234"/>
    <w:rsid w:val="00995D14"/>
    <w:rsid w:val="009D0244"/>
    <w:rsid w:val="009F3A66"/>
    <w:rsid w:val="00A00D46"/>
    <w:rsid w:val="00A436EE"/>
    <w:rsid w:val="00A56DD3"/>
    <w:rsid w:val="00A77C26"/>
    <w:rsid w:val="00AA2C18"/>
    <w:rsid w:val="00AC204E"/>
    <w:rsid w:val="00AC7672"/>
    <w:rsid w:val="00B05264"/>
    <w:rsid w:val="00BE2350"/>
    <w:rsid w:val="00BF3191"/>
    <w:rsid w:val="00CC5FED"/>
    <w:rsid w:val="00D00C2D"/>
    <w:rsid w:val="00D023CF"/>
    <w:rsid w:val="00D42A6D"/>
    <w:rsid w:val="00D4319D"/>
    <w:rsid w:val="00D46365"/>
    <w:rsid w:val="00D47DA9"/>
    <w:rsid w:val="00D65EF7"/>
    <w:rsid w:val="00D72960"/>
    <w:rsid w:val="00DE6C72"/>
    <w:rsid w:val="00DF4F02"/>
    <w:rsid w:val="00E2262E"/>
    <w:rsid w:val="00E66ECF"/>
    <w:rsid w:val="00E84615"/>
    <w:rsid w:val="00F03507"/>
    <w:rsid w:val="00F21CE5"/>
    <w:rsid w:val="00F25E29"/>
    <w:rsid w:val="00F42BC6"/>
    <w:rsid w:val="00F7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EA"/>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6828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EA"/>
    <w:rPr>
      <w:color w:val="0563C1" w:themeColor="hyperlink"/>
      <w:u w:val="single"/>
    </w:rPr>
  </w:style>
  <w:style w:type="paragraph" w:styleId="ListParagraph">
    <w:name w:val="List Paragraph"/>
    <w:basedOn w:val="Normal"/>
    <w:uiPriority w:val="34"/>
    <w:qFormat/>
    <w:rsid w:val="00214BEA"/>
    <w:pPr>
      <w:ind w:left="720"/>
      <w:contextualSpacing/>
    </w:pPr>
  </w:style>
  <w:style w:type="paragraph" w:styleId="BalloonText">
    <w:name w:val="Balloon Text"/>
    <w:basedOn w:val="Normal"/>
    <w:link w:val="BalloonTextChar"/>
    <w:uiPriority w:val="99"/>
    <w:semiHidden/>
    <w:unhideWhenUsed/>
    <w:rsid w:val="00033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1B"/>
    <w:rPr>
      <w:rFonts w:ascii="Segoe UI" w:hAnsi="Segoe UI" w:cs="Segoe UI"/>
      <w:sz w:val="18"/>
      <w:szCs w:val="18"/>
    </w:rPr>
  </w:style>
  <w:style w:type="character" w:styleId="FollowedHyperlink">
    <w:name w:val="FollowedHyperlink"/>
    <w:basedOn w:val="DefaultParagraphFont"/>
    <w:uiPriority w:val="99"/>
    <w:semiHidden/>
    <w:unhideWhenUsed/>
    <w:rsid w:val="004D6C68"/>
    <w:rPr>
      <w:color w:val="954F72" w:themeColor="followedHyperlink"/>
      <w:u w:val="single"/>
    </w:rPr>
  </w:style>
  <w:style w:type="paragraph" w:styleId="NoSpacing">
    <w:name w:val="No Spacing"/>
    <w:link w:val="NoSpacingChar"/>
    <w:uiPriority w:val="1"/>
    <w:qFormat/>
    <w:rsid w:val="00463A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3A55"/>
    <w:rPr>
      <w:rFonts w:eastAsiaTheme="minorEastAsia"/>
      <w:lang w:val="en-US"/>
    </w:rPr>
  </w:style>
  <w:style w:type="table" w:styleId="TableGrid">
    <w:name w:val="Table Grid"/>
    <w:basedOn w:val="TableNormal"/>
    <w:uiPriority w:val="39"/>
    <w:rsid w:val="000F337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372"/>
    <w:rPr>
      <w:sz w:val="16"/>
      <w:szCs w:val="16"/>
    </w:rPr>
  </w:style>
  <w:style w:type="paragraph" w:styleId="CommentText">
    <w:name w:val="annotation text"/>
    <w:basedOn w:val="Normal"/>
    <w:link w:val="CommentTextChar"/>
    <w:uiPriority w:val="99"/>
    <w:semiHidden/>
    <w:unhideWhenUsed/>
    <w:rsid w:val="000F3372"/>
    <w:rPr>
      <w:sz w:val="20"/>
      <w:szCs w:val="20"/>
    </w:rPr>
  </w:style>
  <w:style w:type="character" w:customStyle="1" w:styleId="CommentTextChar">
    <w:name w:val="Comment Text Char"/>
    <w:basedOn w:val="DefaultParagraphFont"/>
    <w:link w:val="CommentText"/>
    <w:uiPriority w:val="99"/>
    <w:semiHidden/>
    <w:rsid w:val="000F3372"/>
    <w:rPr>
      <w:rFonts w:ascii="Arial" w:hAnsi="Arial" w:cs="Arial"/>
      <w:sz w:val="20"/>
      <w:szCs w:val="20"/>
    </w:rPr>
  </w:style>
  <w:style w:type="character" w:styleId="FootnoteReference">
    <w:name w:val="footnote reference"/>
    <w:basedOn w:val="DefaultParagraphFont"/>
    <w:uiPriority w:val="99"/>
    <w:semiHidden/>
    <w:unhideWhenUsed/>
    <w:rsid w:val="00F03507"/>
    <w:rPr>
      <w:vertAlign w:val="superscript"/>
    </w:rPr>
  </w:style>
  <w:style w:type="paragraph" w:styleId="FootnoteText">
    <w:name w:val="footnote text"/>
    <w:basedOn w:val="Normal"/>
    <w:link w:val="FootnoteTextChar"/>
    <w:uiPriority w:val="99"/>
    <w:semiHidden/>
    <w:unhideWhenUsed/>
    <w:rsid w:val="00A56DD3"/>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A56DD3"/>
    <w:rPr>
      <w:rFonts w:ascii="Calibri" w:hAnsi="Calibri" w:cs="Times New Roman"/>
      <w:sz w:val="20"/>
      <w:szCs w:val="20"/>
    </w:rPr>
  </w:style>
  <w:style w:type="paragraph" w:styleId="Header">
    <w:name w:val="header"/>
    <w:basedOn w:val="Normal"/>
    <w:link w:val="HeaderChar"/>
    <w:uiPriority w:val="99"/>
    <w:unhideWhenUsed/>
    <w:rsid w:val="00A436EE"/>
    <w:pPr>
      <w:tabs>
        <w:tab w:val="center" w:pos="4513"/>
        <w:tab w:val="right" w:pos="9026"/>
      </w:tabs>
    </w:pPr>
  </w:style>
  <w:style w:type="character" w:customStyle="1" w:styleId="HeaderChar">
    <w:name w:val="Header Char"/>
    <w:basedOn w:val="DefaultParagraphFont"/>
    <w:link w:val="Header"/>
    <w:uiPriority w:val="99"/>
    <w:rsid w:val="00A436EE"/>
    <w:rPr>
      <w:rFonts w:ascii="Arial" w:hAnsi="Arial" w:cs="Arial"/>
      <w:sz w:val="24"/>
      <w:szCs w:val="24"/>
    </w:rPr>
  </w:style>
  <w:style w:type="paragraph" w:styleId="Footer">
    <w:name w:val="footer"/>
    <w:basedOn w:val="Normal"/>
    <w:link w:val="FooterChar"/>
    <w:uiPriority w:val="99"/>
    <w:unhideWhenUsed/>
    <w:rsid w:val="00A436EE"/>
    <w:pPr>
      <w:tabs>
        <w:tab w:val="center" w:pos="4513"/>
        <w:tab w:val="right" w:pos="9026"/>
      </w:tabs>
    </w:pPr>
  </w:style>
  <w:style w:type="character" w:customStyle="1" w:styleId="FooterChar">
    <w:name w:val="Footer Char"/>
    <w:basedOn w:val="DefaultParagraphFont"/>
    <w:link w:val="Footer"/>
    <w:uiPriority w:val="99"/>
    <w:rsid w:val="00A436EE"/>
    <w:rPr>
      <w:rFonts w:ascii="Arial" w:hAnsi="Arial" w:cs="Arial"/>
      <w:sz w:val="24"/>
      <w:szCs w:val="24"/>
    </w:rPr>
  </w:style>
  <w:style w:type="character" w:customStyle="1" w:styleId="Heading1Char">
    <w:name w:val="Heading 1 Char"/>
    <w:basedOn w:val="DefaultParagraphFont"/>
    <w:link w:val="Heading1"/>
    <w:uiPriority w:val="9"/>
    <w:rsid w:val="006828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28E1"/>
    <w:pPr>
      <w:spacing w:line="259" w:lineRule="auto"/>
      <w:outlineLvl w:val="9"/>
    </w:pPr>
    <w:rPr>
      <w:lang w:val="en-US"/>
    </w:rPr>
  </w:style>
  <w:style w:type="paragraph" w:styleId="TOC2">
    <w:name w:val="toc 2"/>
    <w:basedOn w:val="Normal"/>
    <w:next w:val="Normal"/>
    <w:autoRedefine/>
    <w:uiPriority w:val="39"/>
    <w:unhideWhenUsed/>
    <w:rsid w:val="006828E1"/>
    <w:pPr>
      <w:spacing w:after="100"/>
      <w:ind w:left="240"/>
    </w:pPr>
  </w:style>
  <w:style w:type="paragraph" w:customStyle="1" w:styleId="msotitle3">
    <w:name w:val="msotitle3"/>
    <w:rsid w:val="0091702A"/>
    <w:pPr>
      <w:spacing w:after="0" w:line="240" w:lineRule="auto"/>
      <w:jc w:val="right"/>
    </w:pPr>
    <w:rPr>
      <w:rFonts w:ascii="Rockwell Condensed" w:eastAsia="Times New Roman" w:hAnsi="Rockwell Condensed" w:cs="Times New Roman"/>
      <w:color w:val="000000"/>
      <w:kern w:val="28"/>
      <w:sz w:val="96"/>
      <w:szCs w:val="96"/>
      <w:lang w:eastAsia="en-GB"/>
      <w14:ligatures w14:val="standard"/>
      <w14:cntxtAlts/>
    </w:rPr>
  </w:style>
  <w:style w:type="paragraph" w:customStyle="1" w:styleId="Default">
    <w:name w:val="Default"/>
    <w:rsid w:val="0091702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86B68"/>
    <w:rPr>
      <w:i/>
      <w:iCs/>
    </w:rPr>
  </w:style>
  <w:style w:type="character" w:styleId="IntenseEmphasis">
    <w:name w:val="Intense Emphasis"/>
    <w:basedOn w:val="DefaultParagraphFont"/>
    <w:uiPriority w:val="21"/>
    <w:qFormat/>
    <w:rsid w:val="00586B68"/>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EA"/>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6828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EA"/>
    <w:rPr>
      <w:color w:val="0563C1" w:themeColor="hyperlink"/>
      <w:u w:val="single"/>
    </w:rPr>
  </w:style>
  <w:style w:type="paragraph" w:styleId="ListParagraph">
    <w:name w:val="List Paragraph"/>
    <w:basedOn w:val="Normal"/>
    <w:uiPriority w:val="34"/>
    <w:qFormat/>
    <w:rsid w:val="00214BEA"/>
    <w:pPr>
      <w:ind w:left="720"/>
      <w:contextualSpacing/>
    </w:pPr>
  </w:style>
  <w:style w:type="paragraph" w:styleId="BalloonText">
    <w:name w:val="Balloon Text"/>
    <w:basedOn w:val="Normal"/>
    <w:link w:val="BalloonTextChar"/>
    <w:uiPriority w:val="99"/>
    <w:semiHidden/>
    <w:unhideWhenUsed/>
    <w:rsid w:val="00033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1B"/>
    <w:rPr>
      <w:rFonts w:ascii="Segoe UI" w:hAnsi="Segoe UI" w:cs="Segoe UI"/>
      <w:sz w:val="18"/>
      <w:szCs w:val="18"/>
    </w:rPr>
  </w:style>
  <w:style w:type="character" w:styleId="FollowedHyperlink">
    <w:name w:val="FollowedHyperlink"/>
    <w:basedOn w:val="DefaultParagraphFont"/>
    <w:uiPriority w:val="99"/>
    <w:semiHidden/>
    <w:unhideWhenUsed/>
    <w:rsid w:val="004D6C68"/>
    <w:rPr>
      <w:color w:val="954F72" w:themeColor="followedHyperlink"/>
      <w:u w:val="single"/>
    </w:rPr>
  </w:style>
  <w:style w:type="paragraph" w:styleId="NoSpacing">
    <w:name w:val="No Spacing"/>
    <w:link w:val="NoSpacingChar"/>
    <w:uiPriority w:val="1"/>
    <w:qFormat/>
    <w:rsid w:val="00463A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3A55"/>
    <w:rPr>
      <w:rFonts w:eastAsiaTheme="minorEastAsia"/>
      <w:lang w:val="en-US"/>
    </w:rPr>
  </w:style>
  <w:style w:type="table" w:styleId="TableGrid">
    <w:name w:val="Table Grid"/>
    <w:basedOn w:val="TableNormal"/>
    <w:uiPriority w:val="39"/>
    <w:rsid w:val="000F337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372"/>
    <w:rPr>
      <w:sz w:val="16"/>
      <w:szCs w:val="16"/>
    </w:rPr>
  </w:style>
  <w:style w:type="paragraph" w:styleId="CommentText">
    <w:name w:val="annotation text"/>
    <w:basedOn w:val="Normal"/>
    <w:link w:val="CommentTextChar"/>
    <w:uiPriority w:val="99"/>
    <w:semiHidden/>
    <w:unhideWhenUsed/>
    <w:rsid w:val="000F3372"/>
    <w:rPr>
      <w:sz w:val="20"/>
      <w:szCs w:val="20"/>
    </w:rPr>
  </w:style>
  <w:style w:type="character" w:customStyle="1" w:styleId="CommentTextChar">
    <w:name w:val="Comment Text Char"/>
    <w:basedOn w:val="DefaultParagraphFont"/>
    <w:link w:val="CommentText"/>
    <w:uiPriority w:val="99"/>
    <w:semiHidden/>
    <w:rsid w:val="000F3372"/>
    <w:rPr>
      <w:rFonts w:ascii="Arial" w:hAnsi="Arial" w:cs="Arial"/>
      <w:sz w:val="20"/>
      <w:szCs w:val="20"/>
    </w:rPr>
  </w:style>
  <w:style w:type="character" w:styleId="FootnoteReference">
    <w:name w:val="footnote reference"/>
    <w:basedOn w:val="DefaultParagraphFont"/>
    <w:uiPriority w:val="99"/>
    <w:semiHidden/>
    <w:unhideWhenUsed/>
    <w:rsid w:val="00F03507"/>
    <w:rPr>
      <w:vertAlign w:val="superscript"/>
    </w:rPr>
  </w:style>
  <w:style w:type="paragraph" w:styleId="FootnoteText">
    <w:name w:val="footnote text"/>
    <w:basedOn w:val="Normal"/>
    <w:link w:val="FootnoteTextChar"/>
    <w:uiPriority w:val="99"/>
    <w:semiHidden/>
    <w:unhideWhenUsed/>
    <w:rsid w:val="00A56DD3"/>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A56DD3"/>
    <w:rPr>
      <w:rFonts w:ascii="Calibri" w:hAnsi="Calibri" w:cs="Times New Roman"/>
      <w:sz w:val="20"/>
      <w:szCs w:val="20"/>
    </w:rPr>
  </w:style>
  <w:style w:type="paragraph" w:styleId="Header">
    <w:name w:val="header"/>
    <w:basedOn w:val="Normal"/>
    <w:link w:val="HeaderChar"/>
    <w:uiPriority w:val="99"/>
    <w:unhideWhenUsed/>
    <w:rsid w:val="00A436EE"/>
    <w:pPr>
      <w:tabs>
        <w:tab w:val="center" w:pos="4513"/>
        <w:tab w:val="right" w:pos="9026"/>
      </w:tabs>
    </w:pPr>
  </w:style>
  <w:style w:type="character" w:customStyle="1" w:styleId="HeaderChar">
    <w:name w:val="Header Char"/>
    <w:basedOn w:val="DefaultParagraphFont"/>
    <w:link w:val="Header"/>
    <w:uiPriority w:val="99"/>
    <w:rsid w:val="00A436EE"/>
    <w:rPr>
      <w:rFonts w:ascii="Arial" w:hAnsi="Arial" w:cs="Arial"/>
      <w:sz w:val="24"/>
      <w:szCs w:val="24"/>
    </w:rPr>
  </w:style>
  <w:style w:type="paragraph" w:styleId="Footer">
    <w:name w:val="footer"/>
    <w:basedOn w:val="Normal"/>
    <w:link w:val="FooterChar"/>
    <w:uiPriority w:val="99"/>
    <w:unhideWhenUsed/>
    <w:rsid w:val="00A436EE"/>
    <w:pPr>
      <w:tabs>
        <w:tab w:val="center" w:pos="4513"/>
        <w:tab w:val="right" w:pos="9026"/>
      </w:tabs>
    </w:pPr>
  </w:style>
  <w:style w:type="character" w:customStyle="1" w:styleId="FooterChar">
    <w:name w:val="Footer Char"/>
    <w:basedOn w:val="DefaultParagraphFont"/>
    <w:link w:val="Footer"/>
    <w:uiPriority w:val="99"/>
    <w:rsid w:val="00A436EE"/>
    <w:rPr>
      <w:rFonts w:ascii="Arial" w:hAnsi="Arial" w:cs="Arial"/>
      <w:sz w:val="24"/>
      <w:szCs w:val="24"/>
    </w:rPr>
  </w:style>
  <w:style w:type="character" w:customStyle="1" w:styleId="Heading1Char">
    <w:name w:val="Heading 1 Char"/>
    <w:basedOn w:val="DefaultParagraphFont"/>
    <w:link w:val="Heading1"/>
    <w:uiPriority w:val="9"/>
    <w:rsid w:val="006828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28E1"/>
    <w:pPr>
      <w:spacing w:line="259" w:lineRule="auto"/>
      <w:outlineLvl w:val="9"/>
    </w:pPr>
    <w:rPr>
      <w:lang w:val="en-US"/>
    </w:rPr>
  </w:style>
  <w:style w:type="paragraph" w:styleId="TOC2">
    <w:name w:val="toc 2"/>
    <w:basedOn w:val="Normal"/>
    <w:next w:val="Normal"/>
    <w:autoRedefine/>
    <w:uiPriority w:val="39"/>
    <w:unhideWhenUsed/>
    <w:rsid w:val="006828E1"/>
    <w:pPr>
      <w:spacing w:after="100"/>
      <w:ind w:left="240"/>
    </w:pPr>
  </w:style>
  <w:style w:type="paragraph" w:customStyle="1" w:styleId="msotitle3">
    <w:name w:val="msotitle3"/>
    <w:rsid w:val="0091702A"/>
    <w:pPr>
      <w:spacing w:after="0" w:line="240" w:lineRule="auto"/>
      <w:jc w:val="right"/>
    </w:pPr>
    <w:rPr>
      <w:rFonts w:ascii="Rockwell Condensed" w:eastAsia="Times New Roman" w:hAnsi="Rockwell Condensed" w:cs="Times New Roman"/>
      <w:color w:val="000000"/>
      <w:kern w:val="28"/>
      <w:sz w:val="96"/>
      <w:szCs w:val="96"/>
      <w:lang w:eastAsia="en-GB"/>
      <w14:ligatures w14:val="standard"/>
      <w14:cntxtAlts/>
    </w:rPr>
  </w:style>
  <w:style w:type="paragraph" w:customStyle="1" w:styleId="Default">
    <w:name w:val="Default"/>
    <w:rsid w:val="0091702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86B68"/>
    <w:rPr>
      <w:i/>
      <w:iCs/>
    </w:rPr>
  </w:style>
  <w:style w:type="character" w:styleId="IntenseEmphasis">
    <w:name w:val="Intense Emphasis"/>
    <w:basedOn w:val="DefaultParagraphFont"/>
    <w:uiPriority w:val="21"/>
    <w:qFormat/>
    <w:rsid w:val="00586B6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02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242">
          <w:marLeft w:val="0"/>
          <w:marRight w:val="0"/>
          <w:marTop w:val="0"/>
          <w:marBottom w:val="0"/>
          <w:divBdr>
            <w:top w:val="none" w:sz="0" w:space="0" w:color="auto"/>
            <w:left w:val="none" w:sz="0" w:space="0" w:color="auto"/>
            <w:bottom w:val="none" w:sz="0" w:space="0" w:color="auto"/>
            <w:right w:val="none" w:sz="0" w:space="0" w:color="auto"/>
          </w:divBdr>
          <w:divsChild>
            <w:div w:id="823661804">
              <w:marLeft w:val="0"/>
              <w:marRight w:val="0"/>
              <w:marTop w:val="0"/>
              <w:marBottom w:val="0"/>
              <w:divBdr>
                <w:top w:val="none" w:sz="0" w:space="0" w:color="auto"/>
                <w:left w:val="none" w:sz="0" w:space="0" w:color="auto"/>
                <w:bottom w:val="none" w:sz="0" w:space="0" w:color="auto"/>
                <w:right w:val="none" w:sz="0" w:space="0" w:color="auto"/>
              </w:divBdr>
              <w:divsChild>
                <w:div w:id="1026056547">
                  <w:marLeft w:val="0"/>
                  <w:marRight w:val="0"/>
                  <w:marTop w:val="0"/>
                  <w:marBottom w:val="0"/>
                  <w:divBdr>
                    <w:top w:val="none" w:sz="0" w:space="0" w:color="auto"/>
                    <w:left w:val="none" w:sz="0" w:space="0" w:color="auto"/>
                    <w:bottom w:val="none" w:sz="0" w:space="0" w:color="auto"/>
                    <w:right w:val="none" w:sz="0" w:space="0" w:color="auto"/>
                  </w:divBdr>
                  <w:divsChild>
                    <w:div w:id="1309558482">
                      <w:marLeft w:val="0"/>
                      <w:marRight w:val="0"/>
                      <w:marTop w:val="0"/>
                      <w:marBottom w:val="0"/>
                      <w:divBdr>
                        <w:top w:val="none" w:sz="0" w:space="0" w:color="auto"/>
                        <w:left w:val="none" w:sz="0" w:space="0" w:color="auto"/>
                        <w:bottom w:val="none" w:sz="0" w:space="0" w:color="auto"/>
                        <w:right w:val="none" w:sz="0" w:space="0" w:color="auto"/>
                      </w:divBdr>
                      <w:divsChild>
                        <w:div w:id="1313369618">
                          <w:marLeft w:val="0"/>
                          <w:marRight w:val="0"/>
                          <w:marTop w:val="0"/>
                          <w:marBottom w:val="0"/>
                          <w:divBdr>
                            <w:top w:val="none" w:sz="0" w:space="0" w:color="auto"/>
                            <w:left w:val="none" w:sz="0" w:space="0" w:color="auto"/>
                            <w:bottom w:val="none" w:sz="0" w:space="0" w:color="auto"/>
                            <w:right w:val="none" w:sz="0" w:space="0" w:color="auto"/>
                          </w:divBdr>
                        </w:div>
                      </w:divsChild>
                    </w:div>
                    <w:div w:id="1861435330">
                      <w:marLeft w:val="0"/>
                      <w:marRight w:val="0"/>
                      <w:marTop w:val="0"/>
                      <w:marBottom w:val="0"/>
                      <w:divBdr>
                        <w:top w:val="none" w:sz="0" w:space="0" w:color="auto"/>
                        <w:left w:val="none" w:sz="0" w:space="0" w:color="auto"/>
                        <w:bottom w:val="none" w:sz="0" w:space="0" w:color="auto"/>
                        <w:right w:val="none" w:sz="0" w:space="0" w:color="auto"/>
                      </w:divBdr>
                      <w:divsChild>
                        <w:div w:id="1971394945">
                          <w:marLeft w:val="0"/>
                          <w:marRight w:val="0"/>
                          <w:marTop w:val="0"/>
                          <w:marBottom w:val="0"/>
                          <w:divBdr>
                            <w:top w:val="none" w:sz="0" w:space="0" w:color="auto"/>
                            <w:left w:val="none" w:sz="0" w:space="0" w:color="auto"/>
                            <w:bottom w:val="none" w:sz="0" w:space="0" w:color="auto"/>
                            <w:right w:val="none" w:sz="0" w:space="0" w:color="auto"/>
                          </w:divBdr>
                        </w:div>
                      </w:divsChild>
                    </w:div>
                    <w:div w:id="1402601965">
                      <w:marLeft w:val="0"/>
                      <w:marRight w:val="0"/>
                      <w:marTop w:val="0"/>
                      <w:marBottom w:val="0"/>
                      <w:divBdr>
                        <w:top w:val="none" w:sz="0" w:space="0" w:color="auto"/>
                        <w:left w:val="none" w:sz="0" w:space="0" w:color="auto"/>
                        <w:bottom w:val="none" w:sz="0" w:space="0" w:color="auto"/>
                        <w:right w:val="none" w:sz="0" w:space="0" w:color="auto"/>
                      </w:divBdr>
                      <w:divsChild>
                        <w:div w:id="1508865815">
                          <w:marLeft w:val="0"/>
                          <w:marRight w:val="0"/>
                          <w:marTop w:val="0"/>
                          <w:marBottom w:val="0"/>
                          <w:divBdr>
                            <w:top w:val="none" w:sz="0" w:space="0" w:color="auto"/>
                            <w:left w:val="none" w:sz="0" w:space="0" w:color="auto"/>
                            <w:bottom w:val="none" w:sz="0" w:space="0" w:color="auto"/>
                            <w:right w:val="none" w:sz="0" w:space="0" w:color="auto"/>
                          </w:divBdr>
                        </w:div>
                      </w:divsChild>
                    </w:div>
                    <w:div w:id="701132868">
                      <w:marLeft w:val="0"/>
                      <w:marRight w:val="0"/>
                      <w:marTop w:val="0"/>
                      <w:marBottom w:val="0"/>
                      <w:divBdr>
                        <w:top w:val="none" w:sz="0" w:space="0" w:color="auto"/>
                        <w:left w:val="none" w:sz="0" w:space="0" w:color="auto"/>
                        <w:bottom w:val="none" w:sz="0" w:space="0" w:color="auto"/>
                        <w:right w:val="none" w:sz="0" w:space="0" w:color="auto"/>
                      </w:divBdr>
                      <w:divsChild>
                        <w:div w:id="1557815637">
                          <w:marLeft w:val="0"/>
                          <w:marRight w:val="0"/>
                          <w:marTop w:val="0"/>
                          <w:marBottom w:val="0"/>
                          <w:divBdr>
                            <w:top w:val="none" w:sz="0" w:space="0" w:color="auto"/>
                            <w:left w:val="none" w:sz="0" w:space="0" w:color="auto"/>
                            <w:bottom w:val="none" w:sz="0" w:space="0" w:color="auto"/>
                            <w:right w:val="none" w:sz="0" w:space="0" w:color="auto"/>
                          </w:divBdr>
                        </w:div>
                      </w:divsChild>
                    </w:div>
                    <w:div w:id="1225137762">
                      <w:marLeft w:val="0"/>
                      <w:marRight w:val="0"/>
                      <w:marTop w:val="0"/>
                      <w:marBottom w:val="0"/>
                      <w:divBdr>
                        <w:top w:val="none" w:sz="0" w:space="0" w:color="auto"/>
                        <w:left w:val="none" w:sz="0" w:space="0" w:color="auto"/>
                        <w:bottom w:val="none" w:sz="0" w:space="0" w:color="auto"/>
                        <w:right w:val="none" w:sz="0" w:space="0" w:color="auto"/>
                      </w:divBdr>
                      <w:divsChild>
                        <w:div w:id="1906063889">
                          <w:marLeft w:val="0"/>
                          <w:marRight w:val="0"/>
                          <w:marTop w:val="0"/>
                          <w:marBottom w:val="0"/>
                          <w:divBdr>
                            <w:top w:val="none" w:sz="0" w:space="0" w:color="auto"/>
                            <w:left w:val="none" w:sz="0" w:space="0" w:color="auto"/>
                            <w:bottom w:val="none" w:sz="0" w:space="0" w:color="auto"/>
                            <w:right w:val="none" w:sz="0" w:space="0" w:color="auto"/>
                          </w:divBdr>
                        </w:div>
                      </w:divsChild>
                    </w:div>
                    <w:div w:id="332729190">
                      <w:marLeft w:val="0"/>
                      <w:marRight w:val="0"/>
                      <w:marTop w:val="0"/>
                      <w:marBottom w:val="0"/>
                      <w:divBdr>
                        <w:top w:val="none" w:sz="0" w:space="0" w:color="auto"/>
                        <w:left w:val="none" w:sz="0" w:space="0" w:color="auto"/>
                        <w:bottom w:val="none" w:sz="0" w:space="0" w:color="auto"/>
                        <w:right w:val="none" w:sz="0" w:space="0" w:color="auto"/>
                      </w:divBdr>
                      <w:divsChild>
                        <w:div w:id="559562453">
                          <w:marLeft w:val="0"/>
                          <w:marRight w:val="0"/>
                          <w:marTop w:val="0"/>
                          <w:marBottom w:val="0"/>
                          <w:divBdr>
                            <w:top w:val="none" w:sz="0" w:space="0" w:color="auto"/>
                            <w:left w:val="none" w:sz="0" w:space="0" w:color="auto"/>
                            <w:bottom w:val="none" w:sz="0" w:space="0" w:color="auto"/>
                            <w:right w:val="none" w:sz="0" w:space="0" w:color="auto"/>
                          </w:divBdr>
                        </w:div>
                      </w:divsChild>
                    </w:div>
                    <w:div w:id="281767002">
                      <w:marLeft w:val="0"/>
                      <w:marRight w:val="0"/>
                      <w:marTop w:val="0"/>
                      <w:marBottom w:val="0"/>
                      <w:divBdr>
                        <w:top w:val="none" w:sz="0" w:space="0" w:color="auto"/>
                        <w:left w:val="none" w:sz="0" w:space="0" w:color="auto"/>
                        <w:bottom w:val="none" w:sz="0" w:space="0" w:color="auto"/>
                        <w:right w:val="none" w:sz="0" w:space="0" w:color="auto"/>
                      </w:divBdr>
                      <w:divsChild>
                        <w:div w:id="1664889399">
                          <w:marLeft w:val="0"/>
                          <w:marRight w:val="0"/>
                          <w:marTop w:val="0"/>
                          <w:marBottom w:val="0"/>
                          <w:divBdr>
                            <w:top w:val="none" w:sz="0" w:space="0" w:color="auto"/>
                            <w:left w:val="none" w:sz="0" w:space="0" w:color="auto"/>
                            <w:bottom w:val="none" w:sz="0" w:space="0" w:color="auto"/>
                            <w:right w:val="none" w:sz="0" w:space="0" w:color="auto"/>
                          </w:divBdr>
                        </w:div>
                      </w:divsChild>
                    </w:div>
                    <w:div w:id="697002384">
                      <w:marLeft w:val="0"/>
                      <w:marRight w:val="0"/>
                      <w:marTop w:val="0"/>
                      <w:marBottom w:val="0"/>
                      <w:divBdr>
                        <w:top w:val="none" w:sz="0" w:space="0" w:color="auto"/>
                        <w:left w:val="none" w:sz="0" w:space="0" w:color="auto"/>
                        <w:bottom w:val="none" w:sz="0" w:space="0" w:color="auto"/>
                        <w:right w:val="none" w:sz="0" w:space="0" w:color="auto"/>
                      </w:divBdr>
                      <w:divsChild>
                        <w:div w:id="1380281479">
                          <w:marLeft w:val="0"/>
                          <w:marRight w:val="0"/>
                          <w:marTop w:val="0"/>
                          <w:marBottom w:val="0"/>
                          <w:divBdr>
                            <w:top w:val="none" w:sz="0" w:space="0" w:color="auto"/>
                            <w:left w:val="none" w:sz="0" w:space="0" w:color="auto"/>
                            <w:bottom w:val="none" w:sz="0" w:space="0" w:color="auto"/>
                            <w:right w:val="none" w:sz="0" w:space="0" w:color="auto"/>
                          </w:divBdr>
                        </w:div>
                      </w:divsChild>
                    </w:div>
                    <w:div w:id="1160661134">
                      <w:marLeft w:val="0"/>
                      <w:marRight w:val="0"/>
                      <w:marTop w:val="0"/>
                      <w:marBottom w:val="0"/>
                      <w:divBdr>
                        <w:top w:val="none" w:sz="0" w:space="0" w:color="auto"/>
                        <w:left w:val="none" w:sz="0" w:space="0" w:color="auto"/>
                        <w:bottom w:val="none" w:sz="0" w:space="0" w:color="auto"/>
                        <w:right w:val="none" w:sz="0" w:space="0" w:color="auto"/>
                      </w:divBdr>
                      <w:divsChild>
                        <w:div w:id="1667898885">
                          <w:marLeft w:val="0"/>
                          <w:marRight w:val="0"/>
                          <w:marTop w:val="0"/>
                          <w:marBottom w:val="0"/>
                          <w:divBdr>
                            <w:top w:val="none" w:sz="0" w:space="0" w:color="auto"/>
                            <w:left w:val="none" w:sz="0" w:space="0" w:color="auto"/>
                            <w:bottom w:val="none" w:sz="0" w:space="0" w:color="auto"/>
                            <w:right w:val="none" w:sz="0" w:space="0" w:color="auto"/>
                          </w:divBdr>
                        </w:div>
                      </w:divsChild>
                    </w:div>
                    <w:div w:id="1682124004">
                      <w:marLeft w:val="0"/>
                      <w:marRight w:val="0"/>
                      <w:marTop w:val="0"/>
                      <w:marBottom w:val="0"/>
                      <w:divBdr>
                        <w:top w:val="none" w:sz="0" w:space="0" w:color="auto"/>
                        <w:left w:val="none" w:sz="0" w:space="0" w:color="auto"/>
                        <w:bottom w:val="none" w:sz="0" w:space="0" w:color="auto"/>
                        <w:right w:val="none" w:sz="0" w:space="0" w:color="auto"/>
                      </w:divBdr>
                      <w:divsChild>
                        <w:div w:id="15345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528921">
      <w:bodyDiv w:val="1"/>
      <w:marLeft w:val="0"/>
      <w:marRight w:val="0"/>
      <w:marTop w:val="0"/>
      <w:marBottom w:val="0"/>
      <w:divBdr>
        <w:top w:val="none" w:sz="0" w:space="0" w:color="auto"/>
        <w:left w:val="none" w:sz="0" w:space="0" w:color="auto"/>
        <w:bottom w:val="none" w:sz="0" w:space="0" w:color="auto"/>
        <w:right w:val="none" w:sz="0" w:space="0" w:color="auto"/>
      </w:divBdr>
    </w:div>
    <w:div w:id="1100876380">
      <w:bodyDiv w:val="1"/>
      <w:marLeft w:val="0"/>
      <w:marRight w:val="0"/>
      <w:marTop w:val="0"/>
      <w:marBottom w:val="0"/>
      <w:divBdr>
        <w:top w:val="none" w:sz="0" w:space="0" w:color="auto"/>
        <w:left w:val="none" w:sz="0" w:space="0" w:color="auto"/>
        <w:bottom w:val="none" w:sz="0" w:space="0" w:color="auto"/>
        <w:right w:val="none" w:sz="0" w:space="0" w:color="auto"/>
      </w:divBdr>
    </w:div>
    <w:div w:id="1124495384">
      <w:bodyDiv w:val="1"/>
      <w:marLeft w:val="0"/>
      <w:marRight w:val="0"/>
      <w:marTop w:val="0"/>
      <w:marBottom w:val="0"/>
      <w:divBdr>
        <w:top w:val="none" w:sz="0" w:space="0" w:color="auto"/>
        <w:left w:val="none" w:sz="0" w:space="0" w:color="auto"/>
        <w:bottom w:val="none" w:sz="0" w:space="0" w:color="auto"/>
        <w:right w:val="none" w:sz="0" w:space="0" w:color="auto"/>
      </w:divBdr>
      <w:divsChild>
        <w:div w:id="318313238">
          <w:marLeft w:val="0"/>
          <w:marRight w:val="0"/>
          <w:marTop w:val="0"/>
          <w:marBottom w:val="0"/>
          <w:divBdr>
            <w:top w:val="none" w:sz="0" w:space="0" w:color="auto"/>
            <w:left w:val="none" w:sz="0" w:space="0" w:color="auto"/>
            <w:bottom w:val="none" w:sz="0" w:space="0" w:color="auto"/>
            <w:right w:val="none" w:sz="0" w:space="0" w:color="auto"/>
          </w:divBdr>
          <w:divsChild>
            <w:div w:id="795221902">
              <w:marLeft w:val="0"/>
              <w:marRight w:val="0"/>
              <w:marTop w:val="0"/>
              <w:marBottom w:val="0"/>
              <w:divBdr>
                <w:top w:val="none" w:sz="0" w:space="0" w:color="auto"/>
                <w:left w:val="none" w:sz="0" w:space="0" w:color="auto"/>
                <w:bottom w:val="none" w:sz="0" w:space="0" w:color="auto"/>
                <w:right w:val="none" w:sz="0" w:space="0" w:color="auto"/>
              </w:divBdr>
              <w:divsChild>
                <w:div w:id="1652517136">
                  <w:marLeft w:val="0"/>
                  <w:marRight w:val="0"/>
                  <w:marTop w:val="0"/>
                  <w:marBottom w:val="0"/>
                  <w:divBdr>
                    <w:top w:val="none" w:sz="0" w:space="0" w:color="auto"/>
                    <w:left w:val="none" w:sz="0" w:space="0" w:color="auto"/>
                    <w:bottom w:val="none" w:sz="0" w:space="0" w:color="auto"/>
                    <w:right w:val="none" w:sz="0" w:space="0" w:color="auto"/>
                  </w:divBdr>
                  <w:divsChild>
                    <w:div w:id="364795819">
                      <w:marLeft w:val="0"/>
                      <w:marRight w:val="0"/>
                      <w:marTop w:val="0"/>
                      <w:marBottom w:val="0"/>
                      <w:divBdr>
                        <w:top w:val="none" w:sz="0" w:space="0" w:color="auto"/>
                        <w:left w:val="none" w:sz="0" w:space="0" w:color="auto"/>
                        <w:bottom w:val="none" w:sz="0" w:space="0" w:color="auto"/>
                        <w:right w:val="none" w:sz="0" w:space="0" w:color="auto"/>
                      </w:divBdr>
                      <w:divsChild>
                        <w:div w:id="17212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1577">
      <w:bodyDiv w:val="1"/>
      <w:marLeft w:val="0"/>
      <w:marRight w:val="0"/>
      <w:marTop w:val="0"/>
      <w:marBottom w:val="0"/>
      <w:divBdr>
        <w:top w:val="none" w:sz="0" w:space="0" w:color="auto"/>
        <w:left w:val="none" w:sz="0" w:space="0" w:color="auto"/>
        <w:bottom w:val="none" w:sz="0" w:space="0" w:color="auto"/>
        <w:right w:val="none" w:sz="0" w:space="0" w:color="auto"/>
      </w:divBdr>
    </w:div>
    <w:div w:id="1837381882">
      <w:bodyDiv w:val="1"/>
      <w:marLeft w:val="0"/>
      <w:marRight w:val="0"/>
      <w:marTop w:val="0"/>
      <w:marBottom w:val="0"/>
      <w:divBdr>
        <w:top w:val="none" w:sz="0" w:space="0" w:color="auto"/>
        <w:left w:val="none" w:sz="0" w:space="0" w:color="auto"/>
        <w:bottom w:val="none" w:sz="0" w:space="0" w:color="auto"/>
        <w:right w:val="none" w:sz="0" w:space="0" w:color="auto"/>
      </w:divBdr>
    </w:div>
    <w:div w:id="20953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your-nhs-data-matters/" TargetMode="External"/><Relationship Id="rId18" Type="http://schemas.openxmlformats.org/officeDocument/2006/relationships/hyperlink" Target="https://digital.nhs.uk/services/national-data-opt-out/supporting-patients-information-and-resources" TargetMode="External"/><Relationship Id="rId26" Type="http://schemas.openxmlformats.org/officeDocument/2006/relationships/hyperlink" Target="https://digital.nhs.uk/services/national-data-opt-out/information-for-gp-practices/prevent-type-2-opt-out-code-use-in-visio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hs.uk/your-nhs-data-matters" TargetMode="External"/><Relationship Id="rId34" Type="http://schemas.openxmlformats.org/officeDocument/2006/relationships/hyperlink" Target="https://www.rcgp.org.uk/" TargetMode="External"/><Relationship Id="rId7" Type="http://schemas.openxmlformats.org/officeDocument/2006/relationships/footnotes" Target="footnotes.xml"/><Relationship Id="rId12" Type="http://schemas.openxmlformats.org/officeDocument/2006/relationships/hyperlink" Target="https://digital.nhs.uk/services/national-data-opt-out-programme/operational-policy-guidance-document" TargetMode="External"/><Relationship Id="rId17" Type="http://schemas.openxmlformats.org/officeDocument/2006/relationships/image" Target="media/image1.jpeg"/><Relationship Id="rId25" Type="http://schemas.openxmlformats.org/officeDocument/2006/relationships/hyperlink" Target="https://digital.nhs.uk/services/national-data-opt-out/information-for-gp-practices/prevent-type-2-opt-out-code-use-in-emis-web" TargetMode="External"/><Relationship Id="rId33" Type="http://schemas.openxmlformats.org/officeDocument/2006/relationships/hyperlink" Target="https://digital.nhs.uk/services/national-data-opt-out/information-for-gp-practic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nhs.uk/services/national-data-opt-out/guidance-for-health-and-care-staff" TargetMode="External"/><Relationship Id="rId20" Type="http://schemas.openxmlformats.org/officeDocument/2006/relationships/hyperlink" Target="https://ico.org.uk/for-organisations/guide-to-data-protection/privacy-notices-transparency-and-control/privacy-notices-under-the-eu-general-data-protection-regulation/" TargetMode="External"/><Relationship Id="rId29" Type="http://schemas.openxmlformats.org/officeDocument/2006/relationships/hyperlink" Target="https://www.nhs.uk/your-nhs-data-matt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ptoolkit.nhs.uk/" TargetMode="External"/><Relationship Id="rId24" Type="http://schemas.openxmlformats.org/officeDocument/2006/relationships/hyperlink" Target="https://digital.nhs.uk/services/national-data-opt-out/information-for-gp-practices/prevent-type-2-opt-out-code-use-in-tpp-systmone" TargetMode="External"/><Relationship Id="rId32" Type="http://schemas.openxmlformats.org/officeDocument/2006/relationships/hyperlink" Target="https://digital.nhs.uk/services/national-data-opt-out/compliance-with-the-national-data-opt-out/compliance-implementation-guide" TargetMode="External"/><Relationship Id="rId37" Type="http://schemas.openxmlformats.org/officeDocument/2006/relationships/hyperlink" Target="https://digital.nhs.uk/services/national-data-opt-out/supporting-patients-information-and-resource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hs.uk/your-nhs-data-matters/" TargetMode="External"/><Relationship Id="rId23" Type="http://schemas.openxmlformats.org/officeDocument/2006/relationships/hyperlink" Target="https://understandingpatientdata.org.uk/what-you-need-know" TargetMode="External"/><Relationship Id="rId28" Type="http://schemas.openxmlformats.org/officeDocument/2006/relationships/hyperlink" Target="https://digital.nhs.uk/binaries/content/assets/website-assets/services/national-data-opt-out/patient-type-2-opt-out-transition-letter-v1.0.pdf" TargetMode="External"/><Relationship Id="rId36" Type="http://schemas.openxmlformats.org/officeDocument/2006/relationships/hyperlink" Target="https://www.rcgp.org.uk/patientdatachoices" TargetMode="External"/><Relationship Id="rId10" Type="http://schemas.openxmlformats.org/officeDocument/2006/relationships/hyperlink" Target="https://digital.nhs.uk/data-and-information/information-standards/information-standards-and-data-collections-including-extractions/publications-and-notifications/standards-and-collections/dcb3058-compliance-with-national-data-opt-outs" TargetMode="External"/><Relationship Id="rId19" Type="http://schemas.openxmlformats.org/officeDocument/2006/relationships/hyperlink" Target="https://digital.nhs.uk/services/national-data-opt-out-programme/compliance-with-the-national-data-opt-out" TargetMode="External"/><Relationship Id="rId31" Type="http://schemas.openxmlformats.org/officeDocument/2006/relationships/hyperlink" Target="https://digital.nhs.uk/services/national-data-opt-out/compliance-with-the-national-data-opt-out" TargetMode="External"/><Relationship Id="rId4" Type="http://schemas.microsoft.com/office/2007/relationships/stylesWithEffects" Target="stylesWithEffects.xml"/><Relationship Id="rId9" Type="http://schemas.openxmlformats.org/officeDocument/2006/relationships/hyperlink" Target="http://www.nhs.uk/your-nhs-data-matters" TargetMode="External"/><Relationship Id="rId14" Type="http://schemas.openxmlformats.org/officeDocument/2006/relationships/hyperlink" Target="https://digital.nhs.uk/services/nhs-app" TargetMode="External"/><Relationship Id="rId22" Type="http://schemas.openxmlformats.org/officeDocument/2006/relationships/hyperlink" Target="https://www.hra.nhs.uk/information-about-patients/%20" TargetMode="External"/><Relationship Id="rId27" Type="http://schemas.openxmlformats.org/officeDocument/2006/relationships/hyperlink" Target="https://digital.nhs.uk/services/national-data-opt-out/information-for-gp-practices/prevent-type-2-opt-out-code-use-in-microtest" TargetMode="External"/><Relationship Id="rId30" Type="http://schemas.openxmlformats.org/officeDocument/2006/relationships/hyperlink" Target="https://digital.nhs.uk/services/national-data-opt-out/operational-policy-guidance-document" TargetMode="External"/><Relationship Id="rId35" Type="http://schemas.openxmlformats.org/officeDocument/2006/relationships/hyperlink" Target="https://www.rcgp.org.uk/patientdata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DC23-7D3C-476C-A1F0-6EAB1252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3679</Words>
  <Characters>20972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Miranda Rumble</cp:lastModifiedBy>
  <cp:revision>2</cp:revision>
  <cp:lastPrinted>2020-01-29T13:39:00Z</cp:lastPrinted>
  <dcterms:created xsi:type="dcterms:W3CDTF">2020-02-24T09:19:00Z</dcterms:created>
  <dcterms:modified xsi:type="dcterms:W3CDTF">2020-02-24T09:19:00Z</dcterms:modified>
</cp:coreProperties>
</file>